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numPr>
          <w:ilvl w:val="0"/>
          <w:numId w:val="0"/>
        </w:numPr>
        <w:suppressLineNumbers w:val="0"/>
        <w:spacing w:line="315" w:lineRule="atLeast"/>
        <w:jc w:val="center"/>
        <w:rPr>
          <w:rFonts w:hint="eastAsia" w:ascii="仿宋_GB2312" w:hAnsi="宋体" w:eastAsia="仿宋_GB2312" w:cs="仿宋_GB2312"/>
          <w:b/>
          <w:bCs/>
          <w:i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宋体" w:eastAsia="仿宋_GB2312" w:cs="仿宋_GB2312"/>
          <w:b/>
          <w:bCs/>
          <w:i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项目库分类归口管理清单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line="315" w:lineRule="atLeast"/>
        <w:ind w:firstLine="560" w:firstLineChars="200"/>
        <w:jc w:val="left"/>
        <w:rPr>
          <w:rFonts w:hint="default" w:ascii="仿宋_GB2312" w:hAnsi="宋体" w:eastAsia="仿宋_GB2312" w:cs="仿宋_GB2312"/>
          <w:i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</w:pPr>
    </w:p>
    <w:tbl>
      <w:tblPr>
        <w:tblStyle w:val="3"/>
        <w:tblW w:w="87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9"/>
        <w:gridCol w:w="2655"/>
        <w:gridCol w:w="1710"/>
        <w:gridCol w:w="22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2109" w:type="dxa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  <w:t>类别</w:t>
            </w:r>
          </w:p>
        </w:tc>
        <w:tc>
          <w:tcPr>
            <w:tcW w:w="2655" w:type="dxa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171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  <w:t>归口管理</w:t>
            </w:r>
          </w:p>
        </w:tc>
        <w:tc>
          <w:tcPr>
            <w:tcW w:w="2280" w:type="dxa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  <w:t>参照文件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  <w:jc w:val="center"/>
        </w:trPr>
        <w:tc>
          <w:tcPr>
            <w:tcW w:w="2109" w:type="dxa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  <w:t>党建类</w:t>
            </w:r>
          </w:p>
        </w:tc>
        <w:tc>
          <w:tcPr>
            <w:tcW w:w="2655" w:type="dxa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  <w:t>加强党的建设、榜样支部建设等</w:t>
            </w:r>
          </w:p>
        </w:tc>
        <w:tc>
          <w:tcPr>
            <w:tcW w:w="1710" w:type="dxa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  <w:t>组织部</w:t>
            </w:r>
          </w:p>
        </w:tc>
        <w:tc>
          <w:tcPr>
            <w:tcW w:w="228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0" w:hRule="atLeast"/>
          <w:jc w:val="center"/>
        </w:trPr>
        <w:tc>
          <w:tcPr>
            <w:tcW w:w="2109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  <w:t>教学、实训建设类</w:t>
            </w:r>
          </w:p>
        </w:tc>
        <w:tc>
          <w:tcPr>
            <w:tcW w:w="265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  <w:t>教学实验室建设、专业及课程建设、多媒体及网络教学建设、教学团队建设、实习实训基地建设等</w:t>
            </w:r>
          </w:p>
        </w:tc>
        <w:tc>
          <w:tcPr>
            <w:tcW w:w="1710" w:type="dxa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  <w:t>教务处</w:t>
            </w:r>
          </w:p>
        </w:tc>
        <w:tc>
          <w:tcPr>
            <w:tcW w:w="2280" w:type="dxa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  <w:t>《福建船政交通职业学院实验（训）室管理办法》等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2109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  <w:t>师资队伍建设</w:t>
            </w:r>
          </w:p>
        </w:tc>
        <w:tc>
          <w:tcPr>
            <w:tcW w:w="265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  <w:t>高层次人才引进、队伍建设基地、大师工作室、师资培养培训等项目</w:t>
            </w:r>
          </w:p>
        </w:tc>
        <w:tc>
          <w:tcPr>
            <w:tcW w:w="171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  <w:t>人事处</w:t>
            </w:r>
          </w:p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  <w:t>教师工作部</w:t>
            </w:r>
          </w:p>
        </w:tc>
        <w:tc>
          <w:tcPr>
            <w:tcW w:w="228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  <w:t>《福建船政交通职业学院技能大师工作室运行办法》等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109" w:type="dxa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  <w:t>团委</w:t>
            </w:r>
          </w:p>
        </w:tc>
        <w:tc>
          <w:tcPr>
            <w:tcW w:w="265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  <w:t>美育、社会实践等</w:t>
            </w:r>
          </w:p>
        </w:tc>
        <w:tc>
          <w:tcPr>
            <w:tcW w:w="171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  <w:t>团委</w:t>
            </w:r>
          </w:p>
        </w:tc>
        <w:tc>
          <w:tcPr>
            <w:tcW w:w="228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109" w:type="dxa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  <w:t>科研技术项目</w:t>
            </w:r>
          </w:p>
        </w:tc>
        <w:tc>
          <w:tcPr>
            <w:tcW w:w="265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  <w:t>科研创新团队、技术研发与服务等</w:t>
            </w:r>
          </w:p>
        </w:tc>
        <w:tc>
          <w:tcPr>
            <w:tcW w:w="171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  <w:t>科技处</w:t>
            </w:r>
          </w:p>
        </w:tc>
        <w:tc>
          <w:tcPr>
            <w:tcW w:w="228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2109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  <w:t>信息化建设项目</w:t>
            </w:r>
          </w:p>
        </w:tc>
        <w:tc>
          <w:tcPr>
            <w:tcW w:w="265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171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  <w:t>数据中心</w:t>
            </w:r>
          </w:p>
        </w:tc>
        <w:tc>
          <w:tcPr>
            <w:tcW w:w="228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2109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  <w:t>维修类等项目</w:t>
            </w:r>
          </w:p>
        </w:tc>
        <w:tc>
          <w:tcPr>
            <w:tcW w:w="265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171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  <w:t>后勤处</w:t>
            </w:r>
          </w:p>
        </w:tc>
        <w:tc>
          <w:tcPr>
            <w:tcW w:w="2280" w:type="dxa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  <w:t>《福建船政交通职业学院修缮工程管理实施办法》等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109" w:type="dxa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  <w:t>其他项目</w:t>
            </w:r>
          </w:p>
        </w:tc>
        <w:tc>
          <w:tcPr>
            <w:tcW w:w="265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1710" w:type="dxa"/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  <w:t>相应职能部门</w:t>
            </w:r>
          </w:p>
        </w:tc>
        <w:tc>
          <w:tcPr>
            <w:tcW w:w="228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E65E64"/>
    <w:rsid w:val="03E65E64"/>
    <w:rsid w:val="2E6C4CB2"/>
    <w:rsid w:val="7AFD5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2021-01-07T08:43:00Z</dcterms:created>
  <dc:creator>三月君</dc:creator>
  <cp:lastModifiedBy>龙女</cp:lastModifiedBy>
  <dcterms:modified xsi:type="dcterms:W3CDTF">2021-01-07T09:51:04Z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