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7C6AE">
      <w:pPr>
        <w:adjustRightInd w:val="0"/>
        <w:snapToGrid w:val="0"/>
        <w:spacing w:line="360" w:lineRule="auto"/>
        <w:jc w:val="center"/>
        <w:rPr>
          <w:rFonts w:ascii="宋体" w:hAnsi="宋体" w:eastAsia="宋体"/>
          <w:bCs/>
          <w:sz w:val="18"/>
          <w:szCs w:val="18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福建船政交通职业学院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服务器采购</w:t>
      </w:r>
      <w:r>
        <w:rPr>
          <w:rFonts w:hint="eastAsia" w:ascii="仿宋" w:hAnsi="仿宋" w:eastAsia="仿宋"/>
          <w:b/>
          <w:bCs/>
          <w:sz w:val="32"/>
          <w:szCs w:val="32"/>
        </w:rPr>
        <w:t>询价函</w:t>
      </w:r>
    </w:p>
    <w:p w14:paraId="690171FF">
      <w:pPr>
        <w:adjustRightInd w:val="0"/>
        <w:snapToGrid w:val="0"/>
        <w:spacing w:line="360" w:lineRule="auto"/>
        <w:rPr>
          <w:rFonts w:ascii="宋体" w:hAnsi="宋体" w:eastAsia="宋体"/>
          <w:bCs/>
          <w:sz w:val="21"/>
          <w:szCs w:val="21"/>
        </w:rPr>
      </w:pPr>
    </w:p>
    <w:p w14:paraId="3EE3DC4E">
      <w:pPr>
        <w:adjustRightInd w:val="0"/>
        <w:snapToGrid w:val="0"/>
        <w:spacing w:line="360" w:lineRule="auto"/>
        <w:rPr>
          <w:rFonts w:ascii="宋体" w:hAnsi="宋体" w:eastAsia="宋体"/>
          <w:bCs/>
          <w:sz w:val="28"/>
          <w:szCs w:val="28"/>
          <w:u w:val="single"/>
        </w:rPr>
      </w:pPr>
      <w:r>
        <w:rPr>
          <w:rFonts w:hint="eastAsia" w:ascii="宋体" w:hAnsi="宋体" w:eastAsia="宋体"/>
          <w:bCs/>
          <w:sz w:val="28"/>
          <w:szCs w:val="28"/>
        </w:rPr>
        <w:t>致：</w:t>
      </w:r>
    </w:p>
    <w:p w14:paraId="1B907F3F">
      <w:pPr>
        <w:spacing w:line="360" w:lineRule="auto"/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现邀请贵公司给予我校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福建船政交通职业学院服务器采购项目进行</w:t>
      </w:r>
      <w:r>
        <w:rPr>
          <w:rFonts w:hint="eastAsia" w:ascii="宋体" w:hAnsi="宋体" w:eastAsia="宋体"/>
          <w:bCs/>
          <w:sz w:val="28"/>
          <w:szCs w:val="28"/>
        </w:rPr>
        <w:t>报价，并于202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年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3月30日下</w:t>
      </w:r>
      <w:bookmarkStart w:id="0" w:name="_GoBack"/>
      <w:bookmarkEnd w:id="0"/>
      <w:r>
        <w:rPr>
          <w:rFonts w:hint="eastAsia" w:ascii="宋体" w:hAnsi="宋体" w:eastAsia="宋体"/>
          <w:bCs/>
          <w:sz w:val="28"/>
          <w:szCs w:val="28"/>
        </w:rPr>
        <w:t>午1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bCs/>
          <w:sz w:val="28"/>
          <w:szCs w:val="28"/>
        </w:rPr>
        <w:t>点前将正式报价材料（包括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福建船政交通职业学院服务器采购项目</w:t>
      </w:r>
      <w:r>
        <w:rPr>
          <w:rFonts w:hint="eastAsia" w:ascii="宋体" w:hAnsi="宋体" w:eastAsia="宋体"/>
          <w:bCs/>
          <w:sz w:val="28"/>
          <w:szCs w:val="28"/>
        </w:rPr>
        <w:t>询价函文件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宋体" w:hAnsi="宋体" w:eastAsia="宋体"/>
          <w:bCs/>
          <w:sz w:val="28"/>
          <w:szCs w:val="28"/>
        </w:rPr>
        <w:t>询价表）（盖章包括骑缝章）提交我校数据中心处（地址：福州市仓山区首山路80号福建船政交通职业学院1号楼51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Cs/>
          <w:sz w:val="28"/>
          <w:szCs w:val="28"/>
        </w:rPr>
        <w:t>室），也可扫描后将电子档发送至邮箱sdp@fjcpc.edu.cn，逾期不候。联系电话:83514226，联系人：沈老师。</w:t>
      </w:r>
    </w:p>
    <w:p w14:paraId="23752B05">
      <w:pPr>
        <w:spacing w:line="360" w:lineRule="auto"/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 w14:paraId="34B844D1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 w14:paraId="091A3D1C">
      <w:pPr>
        <w:pStyle w:val="3"/>
        <w:ind w:left="0" w:leftChars="0" w:firstLine="0" w:firstLineChars="0"/>
        <w:jc w:val="left"/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附件：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福建船政交通职业学院智算中心</w:t>
      </w:r>
      <w:r>
        <w:rPr>
          <w:rFonts w:hint="eastAsia" w:ascii="宋体" w:hAnsi="宋体" w:eastAsia="宋体"/>
          <w:bCs/>
          <w:sz w:val="28"/>
          <w:szCs w:val="28"/>
        </w:rPr>
        <w:t>询价表</w:t>
      </w:r>
    </w:p>
    <w:p w14:paraId="1BBFD46C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/>
          <w:bCs/>
          <w:sz w:val="28"/>
          <w:szCs w:val="28"/>
        </w:rPr>
      </w:pPr>
    </w:p>
    <w:p w14:paraId="6C10F7CB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致礼！</w:t>
      </w:r>
    </w:p>
    <w:p w14:paraId="24BC97E9">
      <w:pPr>
        <w:adjustRightInd w:val="0"/>
        <w:snapToGrid w:val="0"/>
        <w:spacing w:line="360" w:lineRule="auto"/>
        <w:jc w:val="left"/>
        <w:rPr>
          <w:rFonts w:ascii="宋体" w:hAnsi="宋体" w:eastAsia="宋体"/>
          <w:bCs/>
          <w:sz w:val="28"/>
          <w:szCs w:val="28"/>
        </w:rPr>
      </w:pPr>
    </w:p>
    <w:p w14:paraId="09E7D21D">
      <w:pPr>
        <w:adjustRightInd w:val="0"/>
        <w:snapToGrid w:val="0"/>
        <w:spacing w:line="360" w:lineRule="auto"/>
        <w:contextualSpacing/>
        <w:jc w:val="righ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福建船政交通职业学院</w:t>
      </w:r>
    </w:p>
    <w:p w14:paraId="123D9B2C">
      <w:pPr>
        <w:adjustRightInd w:val="0"/>
        <w:snapToGrid w:val="0"/>
        <w:spacing w:line="360" w:lineRule="auto"/>
        <w:jc w:val="right"/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                                     202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年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Cs/>
          <w:sz w:val="28"/>
          <w:szCs w:val="28"/>
        </w:rPr>
        <w:t>月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/>
          <w:bCs/>
          <w:sz w:val="28"/>
          <w:szCs w:val="28"/>
        </w:rPr>
        <w:t>日</w:t>
      </w:r>
    </w:p>
    <w:p w14:paraId="0EDF92E2">
      <w:pPr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br w:type="page"/>
      </w:r>
    </w:p>
    <w:p w14:paraId="486BD413">
      <w:pPr>
        <w:jc w:val="center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福建船政交通职业学院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服务器采购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b/>
          <w:bCs/>
          <w:sz w:val="32"/>
          <w:szCs w:val="32"/>
        </w:rPr>
        <w:t>询价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表</w:t>
      </w:r>
    </w:p>
    <w:p w14:paraId="7099A3EF"/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279"/>
        <w:gridCol w:w="1442"/>
        <w:gridCol w:w="1401"/>
        <w:gridCol w:w="907"/>
        <w:gridCol w:w="881"/>
        <w:gridCol w:w="881"/>
      </w:tblGrid>
      <w:tr w14:paraId="3985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27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72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8E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品牌、型号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AB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39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6D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1B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总额（元）</w:t>
            </w:r>
          </w:p>
        </w:tc>
      </w:tr>
      <w:tr w14:paraId="5296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84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6D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超融合服务器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D2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E7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52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325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01E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5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7F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22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多模态大模型服务器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63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7E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FC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237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EA3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F5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4A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F5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通用大模型服务器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91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5D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70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E02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8E5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7C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0F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F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64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81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D2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BF6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F88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FB29378">
      <w:pPr>
        <w:pStyle w:val="3"/>
      </w:pPr>
    </w:p>
    <w:p w14:paraId="32A4327F">
      <w:pPr>
        <w:pStyle w:val="3"/>
        <w:ind w:left="0" w:leftChars="0" w:firstLine="0" w:firstLineChars="0"/>
        <w:jc w:val="left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价格有效期至：</w:t>
      </w:r>
    </w:p>
    <w:p w14:paraId="5D925846">
      <w:pPr>
        <w:spacing w:line="360" w:lineRule="auto"/>
        <w:ind w:right="64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联系人：                     联系方式：</w:t>
      </w:r>
    </w:p>
    <w:p w14:paraId="0C46465A">
      <w:pPr>
        <w:spacing w:line="360" w:lineRule="auto"/>
        <w:ind w:right="640" w:firstLine="4320" w:firstLineChars="135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公司盖章</w:t>
      </w:r>
      <w:r>
        <w:rPr>
          <w:rFonts w:ascii="仿宋" w:hAnsi="仿宋" w:eastAsia="仿宋" w:cs="宋体"/>
          <w:sz w:val="32"/>
          <w:szCs w:val="32"/>
        </w:rPr>
        <w:t>：</w:t>
      </w:r>
    </w:p>
    <w:p w14:paraId="122E588B">
      <w:pPr>
        <w:spacing w:line="360" w:lineRule="auto"/>
        <w:ind w:right="640" w:firstLine="4320" w:firstLineChars="135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日期：</w:t>
      </w:r>
    </w:p>
    <w:p w14:paraId="60FCED1E">
      <w:r>
        <w:br w:type="page"/>
      </w:r>
    </w:p>
    <w:p w14:paraId="5B60BCB9">
      <w:pPr>
        <w:adjustRightInd w:val="0"/>
        <w:snapToGrid w:val="0"/>
        <w:spacing w:line="360" w:lineRule="auto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附件：技术指标要求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21"/>
        <w:gridCol w:w="7139"/>
      </w:tblGrid>
      <w:tr w14:paraId="6AC7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C0C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F6E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F7E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 w14:paraId="542B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808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13A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超融合服务器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145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 CPU：2颗C86 CPU处理器，单颗≥48Core ，主频≥2.6GHz，三级缓存≥256M；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 内存：≥12*64G DDR5 ECC RDIMM 5600Mhz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 硬盘：≥2* 6.4T U.2 2.5 Nvme（缓存盘），≥2* 960G U.2 2.5 Nvme（系统盘）， ≥8*HDD 12T SATA （数据盘）；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 阵列卡：独立SAS 12Gbps 阵列卡（缓存：≥4GB）， 支持RAID0,1,5,6,10,50,60和JBOD +超级电容；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 网卡：≥2*网卡双光口万兆（含模块），≥1*双口千兆网卡；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6.GPU:配置≥2张GPU卡，单卡显存≥24GB，显存带宽≥1008GB/S,FP16≥330TFLOPS，CUDA核心≥16384，基本频率≥2.235 GHz</w:t>
            </w:r>
            <w:r>
              <w:rPr>
                <w:rStyle w:val="6"/>
                <w:rFonts w:ascii="Segoe UI" w:hAnsi="Segoe UI" w:eastAsia="Segoe UI" w:cs="Segoe UI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；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7.电源：≥2000W(1+1) 冗余电源；</w:t>
            </w:r>
          </w:p>
          <w:p w14:paraId="39EB36A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8. 超融合平台具备将存储、计算、网络进行融合管理的能力，超融合平台软件与底层硬件应属同一品牌，同一集群支持不同的磁盘组成不同的存储池，存储池之间数据完全隔离，存储池数据互不影响，支持在线检测存储池性能，能够快速得知存储池性能上限，方便客户做业务规划，支持软件定义的分布式存储，支持单台物理服务器上计算存储融合（超融合）的部署模式，数据可配置多副本（两副本/三副本），跨磁盘、跨节点、跨机架放置模式，超融合系统支持预安装，支持在客户现场组建集群，简化客户现场实施步骤，系统正常运行状态下，软件占用单个节点系统资源在 1C2G 以下，支持通过输入存储扩容需求一键获取存储扩容建议方案，支持大容量虚拟磁盘，单个虚拟磁盘最大可达到128TB，支持现有市场上主要服务器厂商的主流x86服务器，支持VGPU，对CPU、内存、网络、磁盘等指标的实时数据统计，并能反映目前物理机、虚拟机的资源瓶颈。</w:t>
            </w:r>
          </w:p>
          <w:p w14:paraId="5E7A49C6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9.售后服务：提供5年7x24原厂上门服务。</w:t>
            </w:r>
          </w:p>
        </w:tc>
      </w:tr>
      <w:tr w14:paraId="6594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FED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22B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多模态大模型服务器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66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1.CPU: 4颗ARM 架构CPU，单颗≥48Core，主频≥2.6GHz；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2.NPU:</w:t>
            </w:r>
            <w:r>
              <w:rPr>
                <w:rFonts w:hint="eastAsia" w:ascii="宋体" w:hAnsi="宋体" w:cs="宋体"/>
                <w:szCs w:val="21"/>
              </w:rPr>
              <w:t xml:space="preserve"> 配置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NPU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，单卡计算能力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280 TFLOPS FP16，显存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64GB HBM，支持NPU互联协议hccs。</w:t>
            </w:r>
          </w:p>
          <w:p w14:paraId="0FEE4A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3.系统盘: ≥ 2*SSD 960GB SATA 2.5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；数据盘：≥2*SSD 3.84T U.2 企业级 2.5；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4.内存: ≥16*64G DDR4 ECC RDIMM 3200Mhz5.</w:t>
            </w:r>
          </w:p>
          <w:p w14:paraId="42DBE5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阵列卡；独立SAS 12Gbps 阵列卡（缓存：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4GB）， 支持RAID0,1,5,6,10,50,60和JBOD +超级电容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6.网络: 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8*200GE RoCE 高速接口，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4*25GE/10GE光口(含模块)</w:t>
            </w:r>
          </w:p>
          <w:p w14:paraId="7D061872">
            <w:pPr>
              <w:pStyle w:val="7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.AI管理平台：提供容器+镜像的管理，提供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集群的管理和调度，商业版集群管理与调度软件，兼容现有以及未来需要采购的算力服务器，统一管理资源池，后续可无限扩容；全套系统各组件支持冗余设计；支持查看集群中节点，包括主机名、节点类型（主控节点或计算节点）、系统IP、管理IP、CPU核数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N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PU卡数、内存容量（GB）、分区、运行状态、作业列表，支持远程管理节点，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兼容现有市场上主要服务器厂商的主流x86、arm、海光、power等芯片架构：支持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监控集群资源使用情况；支持集群平均利用率和平均显存利用率监控，支持镜像仓库，用于存储和管理容器镜像，支持版本控制，权限管理。</w:t>
            </w:r>
          </w:p>
          <w:p w14:paraId="037F23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8.电源：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2600W白金交流电源 *4</w:t>
            </w:r>
          </w:p>
          <w:p w14:paraId="7CBD8B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.AI服务器符合安全要求，通过安全要求检测。其中支持带外管理功能：主板有BMC芯片，支持IPMI\SNMP\Redfish协议，通过浏览器可以实现WEB远程登录，IPMI管理界面可以监控设备的温度、电压、转速、资源利用率等信息，可执行远程开关机；PCIe传输性能：在CPU到NPU带宽：≥24.1GB/s，NPU到CPU带宽：≥26GB/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平均故障修复时间：服务器配置自检功能及日志记录，能快速定位故障，采用模块化设计，部件更换简单，实测MTTR≤30min。</w:t>
            </w:r>
          </w:p>
          <w:p w14:paraId="301611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10.设备支持内存加固装置，加装固件后在GJB322A-98标准下经过振动，冲击，自由跌落等严格测试且符合标准。</w:t>
            </w:r>
          </w:p>
          <w:p w14:paraId="13887302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.电源控制系统：监测控制线温过高、漏电、过压、欠压、过载、过流、烟雾、温湿度值高时自动智能保护断开供电控制，防雷失效联动控制电源关闭保护，自动智能生成动态故障提示、预警、告警信息并推送运维人员，漏电监测：≥6路，空开监测及通断控制：≥6路，自带时钟、远程更新采集数据功能、定时控制功能和联动控制保护功能；</w:t>
            </w:r>
          </w:p>
          <w:p w14:paraId="1AE62678">
            <w:pPr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12.售后服务：提供5年7x24原厂上门服务。</w:t>
            </w:r>
          </w:p>
        </w:tc>
      </w:tr>
      <w:tr w14:paraId="7684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2C9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C1C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通用大模型服务器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02DD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CPU：2颗C86 CPU处理器，单颗≥24Core，主频≥2.2GHz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 内存：≥8*64GB DDR4 ECC RDIMM 3200Mhz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 系统盘: ≥ 2*SSD 960GB SATA 2.5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；数据盘：≥4*6TB SATA 企业级 3.5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 阵列卡：独立SAS 12Gbps 阵列卡（缓存：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4GB）-RAID05.6,10,50,60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 网卡：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2块网卡 双万兆网卡（含模块），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≥1块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双口千兆网卡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 w14:paraId="318DAAB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GPU：配置≥4张GPU卡，单卡显存≥48GB，显存带宽≥864GB/S，cuda核心数≥7168，FP16≥119 TFLOPS，最大能扩展到8张双宽GPU卡，保证未来需求。</w:t>
            </w:r>
          </w:p>
          <w:p w14:paraId="5EEDF6E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交换机模块：48口光纤交换模块，交换容量≥4.8Tbps，包转发率≥2000Mpps；2.10G SFP+以太网端口数量≥48个，上行业务100G QSFP28以太网端口数量≥8个，提供≥48个10G多模光模块，提供≥2个40G单模光模块，需与现有设备堆叠和级联保证设备互联。</w:t>
            </w:r>
          </w:p>
          <w:p w14:paraId="59F6EE02">
            <w:pPr>
              <w:pStyle w:val="7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.AI管理平台：提供容器+镜像的管理，提供GPU+CPU集群的管理和调度，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商业版集群管理与调度软件，兼容现有以及未来需要采购的算力服务器，统一管理GPU资源池，后续可无限扩容；全套系统各组件支持冗余设计，平台集成并行文件系统，并支持GDS(GPU Direct)功能，单计算节点失效不会影响整体集群的运行，单个存储节点失效不会导致数据丢失；单节点故障对应用透明，不影响应用的正常数据读取；所有节点之间，中断任意一个链路都不影响系统运行，支持查看集群中节点，包括主机名、节点类型（主控节点或计算节点）、系统IP、管理IP、CPU核数、GPU卡数、内存容量（GB）、分区、运行状态、作业列表，支持远程管理节点，兼容现有市场上主要服务器厂商的主流x86、arm、海光、power等芯片架构；支持监控集群GPU资源使用情况，支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持集群GPU平均利用率和平均显存利用率监控，支持镜像仓库，用于存储和管理容器镜像，支持版本控制，权限管理，支持从集群、资源组、节点三个维度进行资源的性能及使用统计情况，包括CPU利用率、GPU利用率、显存利用率、内存利用率、CPU使用核数、GPU使用卡数等信息，多数据中心管理，用户可以选择使用某一数据中心资源包括CPU利用率、GPU利用率、显存利用率、内存利用率、CPU使用核数、GPU使用卡数等信息，多数据中心管理，用户可以选择使用某一数据中心资源，应用模板中应包含应用提交、作业列表、作业操作、应用终端输出显示、作业提交目录数据查询、应用交互页面显示、应用运行占用CPU/内存等信息查看；支持用户自定义推理脚本文件，提供在线UI预测推理能力，为用户提供可调的用API接口；支持节点的动态扩容，扩容期间不影响业务，支持多台服务器的G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PU卡资源统一纳管，统一分配，支持GPU按照型号进行分组；支持单机单卡，单机多卡，多机多卡分配资源；提供单GPU卡多任务共享、GPU切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割（vGPU）方式分配资源，提升GPU利用率组织和用户优先级设定，管理员可对用户添加优先级（1-5），优先级高的优先调度资源，数据加速：支持用户在开发和训练时将样本数据预加载到计算节点，开发用户可以指定数据（个人/组内/公共）进行缓存操作，指定的数据会在训练前预加载到计算节点并自动挂载至容器环境；开发环境管理：支持用户按需选择CPU、GPU、内存等资源进行环境搭建（单机多卡、单机多卡、多机分布式模式），支持自动适配计算节点或人工指定计算节点；支持tensorflow、pytorch等主流AI框架，支持用户通过平台内置框架镜像或用户自定义镜像进行环境创建，支持直接使用dockerHub或NGC镜像创建开发环境；支持对空载环境的超时自动回收，管理员可设置空闲时长以及超时策略（超时提醒、是否自动停止），用户可以手动重启已停止的超时环境；在线开发：能够通过开发环境中Jupyter和web shell进行模型脚本的在线查看、编辑及调试训练等操作，支持通过开发环境对接第三方开发工具（如VSCode、PyCharm），满足研发人员线下开发的使用习惯；镜像管理：支持镜像按照全部、个人、组、公共分类图形化展示，支持智能排序和快速查找镜像；支持镜像的分享、删除和导出，导出时可实时查看导出进度；支持基于GPU 的openFOAM框架。提供内容审核功能，确保应用输出内容的安全性和合规性。在线服务端到端延迟 ≤ 50ms（90%请求）GPU利用率 ≥ 70%，空闲资源自动释放率 ≥ 90%。</w:t>
            </w:r>
          </w:p>
          <w:p w14:paraId="0C858FB3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.配置推理模块：模块支持采用CUDA模式配合服务器运行并提供AI推理能力，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推理模块显存不低于128GB，高达 4 TB NVMe存储，不少于6000个CUDA核心，支持高达200B参数的大语言模型，并可支持TF32, FP16, BF16, INT8, FP8, FP6, FP4等精度，模块本身可支持本地部署LLM类(如DeepSeek-R1:70B，Qwen3-235B，Llama4:109B等)超大参数模型及传统cv视觉模型，可以提供prompt优化器和WebUI，支持线上自动编译；</w:t>
            </w:r>
          </w:p>
          <w:p w14:paraId="230DF5EB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.电源：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2200(3+1) 冗余电源。</w:t>
            </w:r>
          </w:p>
          <w:p w14:paraId="229D6B4F">
            <w:pPr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11.售后服务：提供5年7x24原厂上门服务。</w:t>
            </w:r>
          </w:p>
        </w:tc>
      </w:tr>
      <w:tr w14:paraId="7A4C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94A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default" w:ascii="宋体" w:hAnsi="仿宋" w:eastAsia="宋体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C81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3F28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1.基本要求：2U机架式C86架构服务器；处理器：配置≥1颗C86架构CPU，单颗≥16物理核心, 主频≥2.5GHz；</w:t>
            </w:r>
          </w:p>
          <w:p w14:paraId="1AC293F7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2.内存：配置≥2*32G DDR4内存；</w:t>
            </w:r>
          </w:p>
          <w:p w14:paraId="7075FB72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3.硬盘：系统盘配置≥2块2T 7.2K 6Gb/s SATA HDD 3.5；</w:t>
            </w:r>
          </w:p>
          <w:p w14:paraId="10BBEDD2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4.Raid卡：≥1张独立高级阵列卡，支持JBOD,Raid 0,1,5；</w:t>
            </w:r>
          </w:p>
          <w:p w14:paraId="425AF9FE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5.网卡：板载千兆网卡≥4口（非改配第三方配件，出厂自带）；</w:t>
            </w:r>
          </w:p>
          <w:p w14:paraId="12D2F222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6.电源：配置≥2个800W铂金电源；</w:t>
            </w:r>
          </w:p>
          <w:p w14:paraId="57E36FBE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7.IO接口：支持≥10个PCI-E （用于除RAID控制器、OCP扩展口）；前置≥1个VGA 口，≥2个USB 2 .0接口；后置≥1个VGA 口,≥1个串口，≥2个USB 3 .0接口。</w:t>
            </w:r>
          </w:p>
          <w:p w14:paraId="6771BA9A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8.可靠性：平均无故障时间≥20万小时。</w:t>
            </w:r>
          </w:p>
          <w:p w14:paraId="24A41F1E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9.售后服务：提供5年7x24原厂上门服务。</w:t>
            </w:r>
          </w:p>
        </w:tc>
      </w:tr>
    </w:tbl>
    <w:p w14:paraId="72671BB8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11E3C566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160C0"/>
    <w:multiLevelType w:val="singleLevel"/>
    <w:tmpl w:val="C23160C0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C2E139B"/>
    <w:multiLevelType w:val="singleLevel"/>
    <w:tmpl w:val="CC2E13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0557"/>
    <w:rsid w:val="05AF5900"/>
    <w:rsid w:val="084D31AF"/>
    <w:rsid w:val="0A904677"/>
    <w:rsid w:val="0CFF398B"/>
    <w:rsid w:val="0DA063FA"/>
    <w:rsid w:val="19E1506E"/>
    <w:rsid w:val="1FD75D28"/>
    <w:rsid w:val="23DF6B20"/>
    <w:rsid w:val="249661B1"/>
    <w:rsid w:val="2F5C7FF7"/>
    <w:rsid w:val="346436CA"/>
    <w:rsid w:val="35F23BB0"/>
    <w:rsid w:val="3B8E768A"/>
    <w:rsid w:val="3DE37306"/>
    <w:rsid w:val="441502EA"/>
    <w:rsid w:val="47FA7C7F"/>
    <w:rsid w:val="4B8D7117"/>
    <w:rsid w:val="4F6463E1"/>
    <w:rsid w:val="517333A5"/>
    <w:rsid w:val="57620671"/>
    <w:rsid w:val="623936FD"/>
    <w:rsid w:val="62BD06A2"/>
    <w:rsid w:val="659F7D1B"/>
    <w:rsid w:val="6DE24C48"/>
    <w:rsid w:val="718C0AC3"/>
    <w:rsid w:val="7B615D46"/>
    <w:rsid w:val="7C1032C9"/>
    <w:rsid w:val="7D9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6">
    <w:name w:val="Strong"/>
    <w:qFormat/>
    <w:uiPriority w:val="22"/>
    <w:rPr>
      <w:b/>
      <w:bCs/>
    </w:r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2023</Words>
  <Characters>2636</Characters>
  <Lines>0</Lines>
  <Paragraphs>0</Paragraphs>
  <TotalTime>14</TotalTime>
  <ScaleCrop>false</ScaleCrop>
  <LinksUpToDate>false</LinksUpToDate>
  <CharactersWithSpaces>2783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2025-10-21T00:47:00Z</dcterms:created>
  <dc:creator>Administrator</dc:creator>
  <cp:lastModifiedBy>沈丹平</cp:lastModifiedBy>
  <cp:lastPrinted>2026-03-27T07:29:00Z</cp:lastPrinted>
  <dcterms:modified xsi:type="dcterms:W3CDTF">2026-03-27T08:12:34Z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eyJoZGlkIjoiNGZiN2E1N2ZhODE0MGQyMDM2NDQ0NmFjZjVjYTg0Y2EiLCJ1c2VySWQiOiIxNDQ0ODgzODg0In0=</vt:lpwstr>
  </property>
  <property fmtid="{D5CDD505-2E9C-101B-9397-08002B2CF9AE}" pid="4" name="ICV">
    <vt:lpwstr>5BACCB7A49524C66B1AD3F575AF3864A_13</vt:lpwstr>
  </property>
</Properties>
</file>