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07B40">
      <w:pPr>
        <w:widowControl/>
        <w:spacing w:line="560" w:lineRule="exact"/>
        <w:jc w:val="left"/>
        <w:rPr>
          <w:rFonts w:ascii="仿宋_GB2312" w:hAnsi="方正小标宋简体" w:eastAsia="仿宋_GB2312" w:cs="方正小标宋简体"/>
          <w:b/>
          <w:kern w:val="0"/>
          <w:sz w:val="32"/>
          <w:szCs w:val="32"/>
        </w:rPr>
      </w:pPr>
      <w:r>
        <w:rPr>
          <w:rFonts w:hint="eastAsia" w:ascii="仿宋_GB2312" w:hAnsi="方正小标宋简体" w:eastAsia="仿宋_GB2312" w:cs="方正小标宋简体"/>
          <w:b/>
          <w:kern w:val="0"/>
          <w:sz w:val="32"/>
          <w:szCs w:val="32"/>
        </w:rPr>
        <w:t>附件1</w:t>
      </w:r>
    </w:p>
    <w:p w14:paraId="007BB8F1">
      <w:pPr>
        <w:adjustRightInd w:val="0"/>
        <w:snapToGrid w:val="0"/>
        <w:spacing w:line="540" w:lineRule="atLeast"/>
        <w:jc w:val="center"/>
        <w:rPr>
          <w:rFonts w:cs="Times New Roman" w:asciiTheme="minorEastAsia" w:hAnsiTheme="minorEastAsia"/>
          <w:b/>
          <w:color w:val="000000"/>
          <w:sz w:val="28"/>
          <w:szCs w:val="28"/>
        </w:rPr>
      </w:pPr>
      <w:r>
        <w:rPr>
          <w:rFonts w:hint="eastAsia" w:cs="宋体" w:asciiTheme="minorEastAsia" w:hAnsiTheme="minorEastAsia"/>
          <w:b/>
          <w:color w:val="333333"/>
          <w:kern w:val="0"/>
          <w:sz w:val="28"/>
          <w:szCs w:val="28"/>
        </w:rPr>
        <w:t>福建船政交通职业学院</w:t>
      </w:r>
      <w:r>
        <w:rPr>
          <w:rFonts w:hint="eastAsia" w:cs="宋体" w:asciiTheme="minorEastAsia" w:hAnsiTheme="minorEastAsia"/>
          <w:b/>
          <w:color w:val="333333"/>
          <w:kern w:val="0"/>
          <w:sz w:val="28"/>
          <w:szCs w:val="28"/>
          <w:lang w:val="en-US" w:eastAsia="zh-CN"/>
        </w:rPr>
        <w:t>智算中心</w:t>
      </w:r>
      <w:r>
        <w:rPr>
          <w:rFonts w:hint="eastAsia" w:cs="宋体" w:asciiTheme="minorEastAsia" w:hAnsiTheme="minorEastAsia"/>
          <w:b/>
          <w:color w:val="333333"/>
          <w:kern w:val="0"/>
          <w:sz w:val="28"/>
          <w:szCs w:val="28"/>
        </w:rPr>
        <w:t>项目参数需求</w:t>
      </w:r>
    </w:p>
    <w:tbl>
      <w:tblPr>
        <w:tblStyle w:val="2"/>
        <w:tblW w:w="5034"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1"/>
        <w:gridCol w:w="333"/>
        <w:gridCol w:w="225"/>
        <w:gridCol w:w="539"/>
        <w:gridCol w:w="1955"/>
        <w:gridCol w:w="4958"/>
        <w:gridCol w:w="9"/>
      </w:tblGrid>
      <w:tr w14:paraId="0EF62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0AAF54E2">
            <w:pPr>
              <w:widowControl/>
              <w:adjustRightInd w:val="0"/>
              <w:snapToGrid w:val="0"/>
              <w:jc w:val="center"/>
              <w:rPr>
                <w:rFonts w:asciiTheme="minorEastAsia" w:hAnsiTheme="minorEastAsia"/>
                <w:b/>
                <w:kern w:val="0"/>
                <w:szCs w:val="21"/>
              </w:rPr>
            </w:pPr>
            <w:r>
              <w:rPr>
                <w:rFonts w:hint="eastAsia" w:asciiTheme="minorEastAsia" w:hAnsiTheme="minorEastAsia"/>
                <w:b/>
                <w:kern w:val="0"/>
                <w:szCs w:val="21"/>
              </w:rPr>
              <w:t>项号</w:t>
            </w:r>
          </w:p>
        </w:tc>
        <w:tc>
          <w:tcPr>
            <w:tcW w:w="325" w:type="pct"/>
            <w:gridSpan w:val="2"/>
            <w:tcBorders>
              <w:top w:val="single" w:color="auto" w:sz="4" w:space="0"/>
              <w:left w:val="single" w:color="auto" w:sz="4" w:space="0"/>
              <w:bottom w:val="single" w:color="auto" w:sz="4" w:space="0"/>
              <w:right w:val="single" w:color="auto" w:sz="4" w:space="0"/>
            </w:tcBorders>
            <w:vAlign w:val="center"/>
          </w:tcPr>
          <w:p w14:paraId="4E0870E9">
            <w:pPr>
              <w:widowControl/>
              <w:adjustRightInd w:val="0"/>
              <w:snapToGrid w:val="0"/>
              <w:jc w:val="center"/>
              <w:rPr>
                <w:rFonts w:asciiTheme="minorEastAsia" w:hAnsiTheme="minorEastAsia"/>
                <w:b/>
                <w:kern w:val="0"/>
                <w:szCs w:val="21"/>
              </w:rPr>
            </w:pPr>
            <w:r>
              <w:rPr>
                <w:rFonts w:hint="eastAsia" w:asciiTheme="minorEastAsia" w:hAnsiTheme="minorEastAsia"/>
                <w:b/>
                <w:kern w:val="0"/>
                <w:szCs w:val="21"/>
              </w:rPr>
              <w:t>货物名称</w:t>
            </w:r>
          </w:p>
        </w:tc>
        <w:tc>
          <w:tcPr>
            <w:tcW w:w="314" w:type="pct"/>
            <w:tcBorders>
              <w:top w:val="single" w:color="auto" w:sz="4" w:space="0"/>
              <w:left w:val="single" w:color="auto" w:sz="4" w:space="0"/>
              <w:bottom w:val="single" w:color="auto" w:sz="4" w:space="0"/>
              <w:right w:val="single" w:color="auto" w:sz="4" w:space="0"/>
            </w:tcBorders>
            <w:vAlign w:val="center"/>
          </w:tcPr>
          <w:p w14:paraId="0E571967">
            <w:pPr>
              <w:widowControl/>
              <w:adjustRightInd w:val="0"/>
              <w:snapToGrid w:val="0"/>
              <w:jc w:val="center"/>
              <w:rPr>
                <w:rFonts w:asciiTheme="minorEastAsia" w:hAnsiTheme="minorEastAsia"/>
                <w:b/>
                <w:kern w:val="0"/>
                <w:szCs w:val="21"/>
              </w:rPr>
            </w:pPr>
            <w:r>
              <w:rPr>
                <w:rFonts w:hint="eastAsia" w:asciiTheme="minorEastAsia" w:hAnsiTheme="minorEastAsia"/>
                <w:b/>
                <w:kern w:val="0"/>
                <w:szCs w:val="21"/>
              </w:rPr>
              <w:t>数量</w:t>
            </w:r>
          </w:p>
        </w:tc>
        <w:tc>
          <w:tcPr>
            <w:tcW w:w="1139" w:type="pct"/>
            <w:tcBorders>
              <w:top w:val="single" w:color="auto" w:sz="4" w:space="0"/>
              <w:left w:val="single" w:color="auto" w:sz="4" w:space="0"/>
              <w:bottom w:val="single" w:color="auto" w:sz="4" w:space="0"/>
              <w:right w:val="single" w:color="auto" w:sz="4" w:space="0"/>
            </w:tcBorders>
            <w:vAlign w:val="center"/>
          </w:tcPr>
          <w:p w14:paraId="388C6698">
            <w:pPr>
              <w:adjustRightInd w:val="0"/>
              <w:snapToGrid w:val="0"/>
              <w:jc w:val="center"/>
              <w:rPr>
                <w:rFonts w:asciiTheme="minorEastAsia" w:hAnsiTheme="minorEastAsia"/>
                <w:b/>
                <w:bCs/>
                <w:szCs w:val="21"/>
              </w:rPr>
            </w:pPr>
            <w:r>
              <w:rPr>
                <w:rFonts w:hint="eastAsia" w:asciiTheme="minorEastAsia" w:hAnsiTheme="minorEastAsia"/>
                <w:b/>
                <w:bCs/>
                <w:szCs w:val="21"/>
              </w:rPr>
              <w:t>参考品牌</w:t>
            </w:r>
          </w:p>
        </w:tc>
        <w:tc>
          <w:tcPr>
            <w:tcW w:w="2894" w:type="pct"/>
            <w:gridSpan w:val="2"/>
            <w:tcBorders>
              <w:top w:val="single" w:color="auto" w:sz="4" w:space="0"/>
              <w:left w:val="single" w:color="auto" w:sz="4" w:space="0"/>
              <w:bottom w:val="single" w:color="auto" w:sz="4" w:space="0"/>
              <w:right w:val="single" w:color="auto" w:sz="4" w:space="0"/>
            </w:tcBorders>
            <w:vAlign w:val="center"/>
          </w:tcPr>
          <w:p w14:paraId="7B24E416">
            <w:pPr>
              <w:adjustRightInd w:val="0"/>
              <w:snapToGrid w:val="0"/>
              <w:jc w:val="center"/>
              <w:rPr>
                <w:rFonts w:asciiTheme="minorEastAsia" w:hAnsiTheme="minorEastAsia"/>
                <w:b/>
                <w:bCs/>
                <w:szCs w:val="21"/>
              </w:rPr>
            </w:pPr>
            <w:r>
              <w:rPr>
                <w:rFonts w:hint="eastAsia" w:asciiTheme="minorEastAsia" w:hAnsiTheme="minorEastAsia"/>
                <w:b/>
                <w:bCs/>
                <w:szCs w:val="21"/>
              </w:rPr>
              <w:t>主要技术参数及性能（配置）要求</w:t>
            </w:r>
          </w:p>
        </w:tc>
      </w:tr>
      <w:tr w14:paraId="76491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427B9EC8">
            <w:pPr>
              <w:adjustRightInd w:val="0"/>
              <w:snapToGrid w:val="0"/>
              <w:jc w:val="center"/>
              <w:rPr>
                <w:rFonts w:asciiTheme="minorEastAsia" w:hAnsiTheme="minorEastAsia"/>
                <w:szCs w:val="21"/>
              </w:rPr>
            </w:pPr>
            <w:r>
              <w:rPr>
                <w:rFonts w:hint="eastAsia" w:asciiTheme="minorEastAsia" w:hAnsiTheme="minorEastAsia"/>
                <w:szCs w:val="21"/>
              </w:rPr>
              <w:t>1</w:t>
            </w:r>
          </w:p>
        </w:tc>
        <w:tc>
          <w:tcPr>
            <w:tcW w:w="325" w:type="pct"/>
            <w:gridSpan w:val="2"/>
            <w:tcBorders>
              <w:top w:val="single" w:color="auto" w:sz="4" w:space="0"/>
              <w:left w:val="single" w:color="auto" w:sz="4" w:space="0"/>
              <w:bottom w:val="single" w:color="auto" w:sz="4" w:space="0"/>
              <w:right w:val="single" w:color="auto" w:sz="4" w:space="0"/>
            </w:tcBorders>
            <w:vAlign w:val="center"/>
          </w:tcPr>
          <w:p w14:paraId="7B817ADA">
            <w:pPr>
              <w:adjustRightInd w:val="0"/>
              <w:snapToGrid w:val="0"/>
              <w:jc w:val="center"/>
              <w:rPr>
                <w:rFonts w:asciiTheme="minorEastAsia" w:hAnsiTheme="minorEastAsia"/>
                <w:bCs/>
                <w:szCs w:val="21"/>
              </w:rPr>
            </w:pPr>
            <w:r>
              <w:rPr>
                <w:rFonts w:hint="eastAsia" w:ascii="宋体" w:hAnsi="宋体" w:eastAsia="宋体" w:cs="宋体"/>
                <w:color w:val="000000"/>
                <w:kern w:val="0"/>
                <w:sz w:val="21"/>
                <w:szCs w:val="21"/>
                <w:lang w:val="en-US" w:eastAsia="zh-CN"/>
              </w:rPr>
              <w:t>超融合服务器</w:t>
            </w:r>
          </w:p>
        </w:tc>
        <w:tc>
          <w:tcPr>
            <w:tcW w:w="314" w:type="pct"/>
            <w:tcBorders>
              <w:top w:val="single" w:color="auto" w:sz="4" w:space="0"/>
              <w:left w:val="single" w:color="auto" w:sz="4" w:space="0"/>
              <w:bottom w:val="single" w:color="auto" w:sz="4" w:space="0"/>
              <w:right w:val="single" w:color="auto" w:sz="4" w:space="0"/>
            </w:tcBorders>
            <w:vAlign w:val="center"/>
          </w:tcPr>
          <w:p w14:paraId="18777D97">
            <w:pPr>
              <w:widowControl/>
              <w:adjustRightInd w:val="0"/>
              <w:snapToGrid w:val="0"/>
              <w:jc w:val="center"/>
              <w:textAlignment w:val="center"/>
              <w:rPr>
                <w:rFonts w:hint="eastAsia" w:asciiTheme="minorEastAsia" w:hAnsiTheme="minorEastAsia" w:eastAsiaTheme="minorEastAsia"/>
                <w:bCs/>
                <w:szCs w:val="21"/>
                <w:lang w:eastAsia="zh-CN"/>
              </w:rPr>
            </w:pPr>
            <w:r>
              <w:rPr>
                <w:rFonts w:hint="eastAsia" w:asciiTheme="minorEastAsia" w:hAnsiTheme="minorEastAsia"/>
                <w:bCs/>
                <w:szCs w:val="21"/>
                <w:lang w:val="en-US" w:eastAsia="zh-CN"/>
              </w:rPr>
              <w:t>7</w:t>
            </w:r>
          </w:p>
        </w:tc>
        <w:tc>
          <w:tcPr>
            <w:tcW w:w="1139" w:type="pct"/>
            <w:tcBorders>
              <w:top w:val="single" w:color="auto" w:sz="4" w:space="0"/>
              <w:left w:val="single" w:color="auto" w:sz="4" w:space="0"/>
              <w:bottom w:val="single" w:color="auto" w:sz="4" w:space="0"/>
              <w:right w:val="single" w:color="auto" w:sz="4" w:space="0"/>
            </w:tcBorders>
            <w:vAlign w:val="center"/>
          </w:tcPr>
          <w:p w14:paraId="326DA084">
            <w:pPr>
              <w:widowControl/>
              <w:adjustRightInd w:val="0"/>
              <w:snapToGrid w:val="0"/>
              <w:jc w:val="center"/>
              <w:textAlignment w:val="center"/>
              <w:rPr>
                <w:rFonts w:hint="default" w:cs="仿宋" w:asciiTheme="minorEastAsia" w:hAnsiTheme="minorEastAsia" w:eastAsiaTheme="minorEastAsia"/>
                <w:szCs w:val="21"/>
                <w:lang w:val="en-US" w:eastAsia="zh-CN"/>
              </w:rPr>
            </w:pPr>
            <w:r>
              <w:rPr>
                <w:rFonts w:hint="eastAsia" w:cs="仿宋" w:asciiTheme="minorEastAsia" w:hAnsiTheme="minorEastAsia"/>
                <w:szCs w:val="21"/>
                <w:lang w:val="en-US" w:eastAsia="zh-CN"/>
              </w:rPr>
              <w:t>广电五舟，中兴通讯，浪潮，中科可控</w:t>
            </w:r>
          </w:p>
        </w:tc>
        <w:tc>
          <w:tcPr>
            <w:tcW w:w="2894" w:type="pct"/>
            <w:gridSpan w:val="2"/>
            <w:tcBorders>
              <w:top w:val="single" w:color="auto" w:sz="4" w:space="0"/>
              <w:left w:val="single" w:color="auto" w:sz="4" w:space="0"/>
              <w:bottom w:val="single" w:color="auto" w:sz="4" w:space="0"/>
              <w:right w:val="single" w:color="auto" w:sz="4" w:space="0"/>
            </w:tcBorders>
            <w:vAlign w:val="center"/>
          </w:tcPr>
          <w:p w14:paraId="6528145A">
            <w:pPr>
              <w:widowControl/>
              <w:jc w:val="left"/>
              <w:rPr>
                <w:rFonts w:hint="eastAsia" w:ascii="宋体" w:hAnsi="宋体" w:cs="宋体"/>
                <w:color w:val="000000"/>
                <w:kern w:val="0"/>
                <w:szCs w:val="21"/>
              </w:rPr>
            </w:pPr>
            <w:r>
              <w:rPr>
                <w:rFonts w:hint="eastAsia" w:ascii="宋体" w:hAnsi="宋体" w:cs="宋体"/>
                <w:color w:val="000000"/>
                <w:kern w:val="0"/>
                <w:szCs w:val="21"/>
              </w:rPr>
              <w:t>1. CPU：2颗C86 CPU处理器，单颗≥48Core ，主频≥2.6GHz，三级缓存≥256M；</w:t>
            </w:r>
            <w:r>
              <w:rPr>
                <w:rFonts w:hint="eastAsia" w:ascii="宋体" w:hAnsi="宋体" w:cs="宋体"/>
                <w:color w:val="000000"/>
                <w:kern w:val="0"/>
                <w:szCs w:val="21"/>
              </w:rPr>
              <w:br w:type="textWrapping"/>
            </w:r>
            <w:r>
              <w:rPr>
                <w:rFonts w:hint="eastAsia" w:ascii="宋体" w:hAnsi="宋体" w:cs="宋体"/>
                <w:color w:val="000000"/>
                <w:kern w:val="0"/>
                <w:szCs w:val="21"/>
              </w:rPr>
              <w:t>2. 内存：≥12*64G DDR5 ECC RDIMM 5600Mhz</w:t>
            </w:r>
            <w:r>
              <w:rPr>
                <w:rFonts w:hint="eastAsia" w:ascii="宋体" w:hAnsi="宋体" w:cs="宋体"/>
                <w:color w:val="000000"/>
                <w:kern w:val="0"/>
                <w:szCs w:val="21"/>
              </w:rPr>
              <w:br w:type="textWrapping"/>
            </w:r>
            <w:r>
              <w:rPr>
                <w:rFonts w:hint="eastAsia" w:ascii="宋体" w:hAnsi="宋体" w:cs="宋体"/>
                <w:color w:val="000000"/>
                <w:kern w:val="0"/>
                <w:szCs w:val="21"/>
              </w:rPr>
              <w:t>3. 硬盘：≥2* 6.4T U.2 2.5 Nvme（缓存盘），≥2* 960G U.2 2.5 Nvme（系统盘）， ≥8*HDD 12T SATA （数据盘）；</w:t>
            </w:r>
            <w:r>
              <w:rPr>
                <w:rFonts w:hint="eastAsia" w:ascii="宋体" w:hAnsi="宋体" w:cs="宋体"/>
                <w:color w:val="000000"/>
                <w:kern w:val="0"/>
                <w:szCs w:val="21"/>
              </w:rPr>
              <w:br w:type="textWrapping"/>
            </w:r>
            <w:r>
              <w:rPr>
                <w:rFonts w:hint="eastAsia" w:ascii="宋体" w:hAnsi="宋体" w:cs="宋体"/>
                <w:color w:val="000000"/>
                <w:kern w:val="0"/>
                <w:szCs w:val="21"/>
              </w:rPr>
              <w:t>4. 阵列卡：独立SAS 12Gbps 阵列卡（缓存：≥4GB）， 支持RAID0,1,5,6,10,50,60和JBOD +超级电容；</w:t>
            </w:r>
            <w:r>
              <w:rPr>
                <w:rFonts w:hint="eastAsia" w:ascii="宋体" w:hAnsi="宋体" w:cs="宋体"/>
                <w:color w:val="000000"/>
                <w:kern w:val="0"/>
                <w:szCs w:val="21"/>
              </w:rPr>
              <w:br w:type="textWrapping"/>
            </w:r>
            <w:r>
              <w:rPr>
                <w:rFonts w:hint="eastAsia" w:ascii="宋体" w:hAnsi="宋体" w:cs="宋体"/>
                <w:color w:val="000000"/>
                <w:kern w:val="0"/>
                <w:szCs w:val="21"/>
              </w:rPr>
              <w:t>5. 网卡：≥2*网卡双光口万兆（含模块），≥1*双口千兆网卡；</w:t>
            </w:r>
            <w:r>
              <w:rPr>
                <w:rFonts w:hint="eastAsia" w:ascii="宋体" w:hAnsi="宋体" w:cs="宋体"/>
                <w:color w:val="000000"/>
                <w:kern w:val="0"/>
                <w:szCs w:val="21"/>
              </w:rPr>
              <w:br w:type="textWrapping"/>
            </w:r>
            <w:r>
              <w:rPr>
                <w:rFonts w:hint="eastAsia" w:ascii="宋体" w:hAnsi="宋体" w:cs="宋体"/>
                <w:color w:val="000000"/>
                <w:kern w:val="0"/>
                <w:szCs w:val="21"/>
              </w:rPr>
              <w:t>6.GPU:配置≥2张GPU卡，单卡显存≥24GB，显存带宽≥1008GB/S,FP16≥330TFLOPS，CUDA核心≥16384，基本频率≥2.235 GHz</w:t>
            </w:r>
            <w:r>
              <w:rPr>
                <w:rStyle w:val="4"/>
                <w:rFonts w:ascii="Segoe UI" w:hAnsi="Segoe UI" w:eastAsia="Segoe UI" w:cs="Segoe UI"/>
                <w:sz w:val="19"/>
                <w:szCs w:val="19"/>
                <w:shd w:val="clear" w:color="auto" w:fill="FFFFFF"/>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rPr>
              <w:br w:type="textWrapping"/>
            </w:r>
            <w:r>
              <w:rPr>
                <w:rFonts w:hint="eastAsia" w:ascii="宋体" w:hAnsi="宋体" w:cs="宋体"/>
                <w:color w:val="000000"/>
                <w:kern w:val="0"/>
                <w:szCs w:val="21"/>
              </w:rPr>
              <w:t>7.电源：≥2000W(1+1) 冗余电源；</w:t>
            </w:r>
          </w:p>
          <w:p w14:paraId="39EB36A2">
            <w:pPr>
              <w:widowControl/>
              <w:jc w:val="left"/>
              <w:rPr>
                <w:rFonts w:hint="eastAsia" w:ascii="宋体" w:hAnsi="宋体" w:cs="宋体"/>
                <w:color w:val="000000"/>
                <w:kern w:val="0"/>
                <w:szCs w:val="21"/>
              </w:rPr>
            </w:pPr>
            <w:r>
              <w:rPr>
                <w:rFonts w:hint="eastAsia" w:ascii="宋体" w:hAnsi="宋体" w:cs="宋体"/>
                <w:color w:val="000000"/>
                <w:kern w:val="0"/>
                <w:szCs w:val="21"/>
              </w:rPr>
              <w:t>8. 超融合平台具备将存储、计算、网络进行融合管理的能力，超融合平台软件与底层硬件应属同一品牌，同一集群支持不同的磁盘组成不同的存储池，存储池之间数据完全隔离，存储池数据互不影响，支持在线检测存储池性能，能够快速得知存储池性能上限，方便客户做业务规划，支持软件定义的分布式存储，支持单台物理服务器上计算存储融合（超融合）的部署模式，数据可配置多副本（两副本/三副本），跨磁盘、跨节点、跨机架放置模式，超融合系统支持预安装，支持在客户现场组建集群，简化客户现场实施步骤，系统正常运行状态下，软件占用单个节点系统资源在 1C2G 以下，支持通过输入存储扩容需求一键获取存储扩容建议方案，支持大容量虚拟磁盘，单个虚拟磁盘最大可达到128TB，支持现有市场上主要服务器厂商的主流x86服务器，支持VGPU，对CPU、内存、网络、磁盘等指标的实时数据统计，并能反映目前物理机、虚拟机的资源瓶颈。</w:t>
            </w:r>
          </w:p>
          <w:p w14:paraId="7245D731">
            <w:pPr>
              <w:widowControl/>
              <w:jc w:val="left"/>
              <w:textAlignment w:val="center"/>
              <w:rPr>
                <w:rFonts w:asciiTheme="minorEastAsia" w:hAnsiTheme="minorEastAsia"/>
                <w:szCs w:val="21"/>
              </w:rPr>
            </w:pPr>
            <w:r>
              <w:rPr>
                <w:rFonts w:hint="eastAsia" w:ascii="宋体" w:hAnsi="宋体" w:cs="宋体"/>
                <w:color w:val="000000"/>
                <w:kern w:val="0"/>
                <w:szCs w:val="21"/>
                <w:lang w:val="en-US" w:eastAsia="zh-CN"/>
              </w:rPr>
              <w:t>9.售后服务：提供5年7x24原厂上门服务。</w:t>
            </w:r>
          </w:p>
        </w:tc>
      </w:tr>
      <w:tr w14:paraId="54DC6D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5FADC596">
            <w:pPr>
              <w:adjustRightInd w:val="0"/>
              <w:snapToGrid w:val="0"/>
              <w:jc w:val="center"/>
              <w:rPr>
                <w:rFonts w:asciiTheme="minorEastAsia" w:hAnsiTheme="minorEastAsia"/>
                <w:bCs/>
                <w:szCs w:val="21"/>
              </w:rPr>
            </w:pPr>
            <w:r>
              <w:rPr>
                <w:rFonts w:hint="eastAsia" w:asciiTheme="minorEastAsia" w:hAnsiTheme="minorEastAsia"/>
                <w:bCs/>
                <w:szCs w:val="21"/>
              </w:rPr>
              <w:t>2</w:t>
            </w:r>
          </w:p>
        </w:tc>
        <w:tc>
          <w:tcPr>
            <w:tcW w:w="325" w:type="pct"/>
            <w:gridSpan w:val="2"/>
            <w:tcBorders>
              <w:top w:val="single" w:color="auto" w:sz="4" w:space="0"/>
              <w:left w:val="single" w:color="auto" w:sz="4" w:space="0"/>
              <w:bottom w:val="single" w:color="auto" w:sz="4" w:space="0"/>
              <w:right w:val="single" w:color="auto" w:sz="4" w:space="0"/>
            </w:tcBorders>
            <w:vAlign w:val="center"/>
          </w:tcPr>
          <w:p w14:paraId="610CAF9B">
            <w:pPr>
              <w:adjustRightInd w:val="0"/>
              <w:snapToGrid w:val="0"/>
              <w:jc w:val="center"/>
              <w:rPr>
                <w:rFonts w:asciiTheme="minorEastAsia" w:hAnsiTheme="minorEastAsia"/>
                <w:bCs/>
                <w:szCs w:val="21"/>
              </w:rPr>
            </w:pPr>
            <w:r>
              <w:rPr>
                <w:rFonts w:hint="eastAsia" w:ascii="宋体" w:hAnsi="宋体" w:eastAsia="宋体" w:cs="宋体"/>
                <w:color w:val="000000"/>
                <w:kern w:val="0"/>
                <w:sz w:val="21"/>
                <w:szCs w:val="21"/>
              </w:rPr>
              <w:t>多模态大模型服务器</w:t>
            </w:r>
          </w:p>
        </w:tc>
        <w:tc>
          <w:tcPr>
            <w:tcW w:w="314" w:type="pct"/>
            <w:tcBorders>
              <w:top w:val="single" w:color="auto" w:sz="4" w:space="0"/>
              <w:left w:val="single" w:color="auto" w:sz="4" w:space="0"/>
              <w:bottom w:val="single" w:color="auto" w:sz="4" w:space="0"/>
              <w:right w:val="single" w:color="auto" w:sz="4" w:space="0"/>
            </w:tcBorders>
            <w:vAlign w:val="center"/>
          </w:tcPr>
          <w:p w14:paraId="1C4D3A85">
            <w:pPr>
              <w:adjustRightInd w:val="0"/>
              <w:snapToGrid w:val="0"/>
              <w:jc w:val="center"/>
              <w:rPr>
                <w:rFonts w:hint="eastAsia" w:asciiTheme="minorEastAsia" w:hAnsiTheme="minorEastAsia" w:eastAsiaTheme="minorEastAsia"/>
                <w:bCs/>
                <w:szCs w:val="21"/>
                <w:lang w:eastAsia="zh-CN"/>
              </w:rPr>
            </w:pPr>
            <w:r>
              <w:rPr>
                <w:rFonts w:hint="eastAsia" w:asciiTheme="minorEastAsia" w:hAnsiTheme="minorEastAsia"/>
                <w:bCs/>
                <w:szCs w:val="21"/>
                <w:lang w:val="en-US" w:eastAsia="zh-CN"/>
              </w:rPr>
              <w:t>1</w:t>
            </w:r>
          </w:p>
        </w:tc>
        <w:tc>
          <w:tcPr>
            <w:tcW w:w="1139" w:type="pct"/>
            <w:tcBorders>
              <w:top w:val="single" w:color="auto" w:sz="4" w:space="0"/>
              <w:left w:val="single" w:color="auto" w:sz="4" w:space="0"/>
              <w:bottom w:val="single" w:color="auto" w:sz="4" w:space="0"/>
              <w:right w:val="single" w:color="auto" w:sz="4" w:space="0"/>
            </w:tcBorders>
            <w:vAlign w:val="center"/>
          </w:tcPr>
          <w:p w14:paraId="334EA191">
            <w:pPr>
              <w:widowControl/>
              <w:adjustRightInd w:val="0"/>
              <w:snapToGrid w:val="0"/>
              <w:jc w:val="center"/>
              <w:textAlignment w:val="center"/>
              <w:rPr>
                <w:rFonts w:hint="eastAsia" w:eastAsia="宋体" w:asciiTheme="minorEastAsia" w:hAnsiTheme="minorEastAsia"/>
                <w:bCs/>
                <w:szCs w:val="21"/>
                <w:lang w:val="en-US" w:eastAsia="zh-CN"/>
              </w:rPr>
            </w:pPr>
            <w:r>
              <w:rPr>
                <w:rFonts w:hint="eastAsia" w:cs="仿宋" w:asciiTheme="minorEastAsia" w:hAnsiTheme="minorEastAsia"/>
                <w:szCs w:val="21"/>
                <w:lang w:val="en-US" w:eastAsia="zh-CN"/>
              </w:rPr>
              <w:t>广电五舟，山西百信，浪潮，宝德计算</w:t>
            </w:r>
          </w:p>
        </w:tc>
        <w:tc>
          <w:tcPr>
            <w:tcW w:w="2894" w:type="pct"/>
            <w:gridSpan w:val="2"/>
            <w:tcBorders>
              <w:top w:val="single" w:color="auto" w:sz="4" w:space="0"/>
              <w:left w:val="single" w:color="auto" w:sz="4" w:space="0"/>
              <w:bottom w:val="single" w:color="auto" w:sz="4" w:space="0"/>
              <w:right w:val="single" w:color="auto" w:sz="4" w:space="0"/>
            </w:tcBorders>
            <w:vAlign w:val="center"/>
          </w:tcPr>
          <w:p w14:paraId="1695661F">
            <w:pPr>
              <w:widowControl/>
              <w:jc w:val="left"/>
              <w:rPr>
                <w:rFonts w:ascii="宋体" w:hAnsi="宋体" w:cs="宋体"/>
                <w:color w:val="000000"/>
                <w:kern w:val="0"/>
                <w:szCs w:val="21"/>
              </w:rPr>
            </w:pPr>
            <w:r>
              <w:rPr>
                <w:rFonts w:hint="eastAsia" w:ascii="宋体" w:hAnsi="宋体" w:cs="宋体"/>
                <w:color w:val="000000"/>
                <w:kern w:val="0"/>
                <w:szCs w:val="21"/>
              </w:rPr>
              <w:t>1.CPU: 4颗ARM 架构CPU，单颗≥48Core，主频≥2.6GHz；</w:t>
            </w:r>
            <w:r>
              <w:rPr>
                <w:rFonts w:hint="eastAsia" w:ascii="宋体" w:hAnsi="宋体" w:cs="宋体"/>
                <w:color w:val="000000"/>
                <w:kern w:val="0"/>
                <w:szCs w:val="21"/>
              </w:rPr>
              <w:br w:type="textWrapping"/>
            </w:r>
            <w:r>
              <w:rPr>
                <w:rFonts w:hint="eastAsia" w:ascii="宋体" w:hAnsi="宋体" w:cs="宋体"/>
                <w:color w:val="000000"/>
                <w:kern w:val="0"/>
                <w:szCs w:val="21"/>
              </w:rPr>
              <w:t>2.NPU:</w:t>
            </w:r>
            <w:r>
              <w:rPr>
                <w:rFonts w:hint="eastAsia" w:ascii="宋体" w:hAnsi="宋体" w:cs="宋体"/>
                <w:szCs w:val="21"/>
              </w:rPr>
              <w:t xml:space="preserve"> 配置</w:t>
            </w:r>
            <w:r>
              <w:rPr>
                <w:rFonts w:hint="eastAsia" w:ascii="宋体" w:hAnsi="宋体" w:cs="宋体"/>
                <w:color w:val="333333"/>
                <w:szCs w:val="21"/>
                <w:shd w:val="clear" w:color="auto" w:fill="FFFFFF"/>
              </w:rPr>
              <w:t>≥</w:t>
            </w:r>
            <w:r>
              <w:rPr>
                <w:rFonts w:hint="eastAsia" w:ascii="宋体" w:hAnsi="宋体" w:cs="宋体"/>
                <w:color w:val="000000"/>
                <w:kern w:val="0"/>
                <w:szCs w:val="21"/>
              </w:rPr>
              <w:t>8</w:t>
            </w:r>
            <w:r>
              <w:rPr>
                <w:rFonts w:hint="eastAsia" w:ascii="宋体" w:hAnsi="宋体" w:cs="宋体"/>
                <w:color w:val="000000"/>
                <w:kern w:val="0"/>
                <w:szCs w:val="21"/>
                <w:lang w:val="en-US" w:eastAsia="zh-CN"/>
              </w:rPr>
              <w:t>张</w:t>
            </w:r>
            <w:r>
              <w:rPr>
                <w:rFonts w:hint="eastAsia" w:ascii="宋体" w:hAnsi="宋体" w:cs="宋体"/>
                <w:color w:val="000000"/>
                <w:kern w:val="0"/>
                <w:szCs w:val="21"/>
              </w:rPr>
              <w:t>NPU</w:t>
            </w:r>
            <w:r>
              <w:rPr>
                <w:rFonts w:hint="eastAsia" w:ascii="宋体" w:hAnsi="宋体" w:cs="宋体"/>
                <w:color w:val="000000"/>
                <w:kern w:val="0"/>
                <w:szCs w:val="21"/>
                <w:lang w:val="en-US" w:eastAsia="zh-CN"/>
              </w:rPr>
              <w:t>卡</w:t>
            </w:r>
            <w:r>
              <w:rPr>
                <w:rFonts w:hint="eastAsia" w:ascii="宋体" w:hAnsi="宋体" w:cs="宋体"/>
                <w:color w:val="000000"/>
                <w:kern w:val="0"/>
                <w:szCs w:val="21"/>
              </w:rPr>
              <w:t>，单卡计算能力</w:t>
            </w:r>
            <w:r>
              <w:rPr>
                <w:rFonts w:hint="eastAsia" w:ascii="宋体" w:hAnsi="宋体" w:cs="宋体"/>
                <w:color w:val="333333"/>
                <w:szCs w:val="21"/>
                <w:shd w:val="clear" w:color="auto" w:fill="FFFFFF"/>
              </w:rPr>
              <w:t>≥</w:t>
            </w:r>
            <w:r>
              <w:rPr>
                <w:rFonts w:hint="eastAsia" w:ascii="宋体" w:hAnsi="宋体" w:cs="宋体"/>
                <w:color w:val="000000"/>
                <w:kern w:val="0"/>
                <w:szCs w:val="21"/>
              </w:rPr>
              <w:t>280 TFLOPS FP16，显存</w:t>
            </w:r>
            <w:r>
              <w:rPr>
                <w:rFonts w:hint="eastAsia" w:ascii="宋体" w:hAnsi="宋体" w:cs="宋体"/>
                <w:color w:val="333333"/>
                <w:szCs w:val="21"/>
                <w:shd w:val="clear" w:color="auto" w:fill="FFFFFF"/>
              </w:rPr>
              <w:t>≥</w:t>
            </w:r>
            <w:r>
              <w:rPr>
                <w:rFonts w:hint="eastAsia" w:ascii="宋体" w:hAnsi="宋体" w:cs="宋体"/>
                <w:color w:val="000000"/>
                <w:kern w:val="0"/>
                <w:szCs w:val="21"/>
              </w:rPr>
              <w:t>64GB HBM，支持NPU互联协议hccs。</w:t>
            </w:r>
          </w:p>
          <w:p w14:paraId="0FEE4AD5">
            <w:pPr>
              <w:widowControl/>
              <w:jc w:val="left"/>
              <w:rPr>
                <w:rFonts w:hint="eastAsia" w:ascii="宋体" w:hAnsi="宋体" w:cs="宋体"/>
                <w:color w:val="000000"/>
                <w:kern w:val="0"/>
                <w:szCs w:val="21"/>
              </w:rPr>
            </w:pPr>
            <w:r>
              <w:rPr>
                <w:rFonts w:hint="eastAsia" w:ascii="宋体" w:hAnsi="宋体" w:cs="宋体"/>
                <w:color w:val="000000"/>
                <w:kern w:val="0"/>
                <w:szCs w:val="21"/>
              </w:rPr>
              <w:t>3.系统盘: ≥ 2*SSD 960GB SATA 2.5</w:t>
            </w:r>
            <w:r>
              <w:rPr>
                <w:rFonts w:hint="eastAsia" w:ascii="宋体" w:hAnsi="宋体" w:cs="宋体"/>
                <w:color w:val="000000"/>
                <w:kern w:val="0"/>
                <w:szCs w:val="21"/>
                <w:lang w:val="en-US" w:eastAsia="zh-CN"/>
              </w:rPr>
              <w:t>寸</w:t>
            </w:r>
            <w:r>
              <w:rPr>
                <w:rFonts w:hint="eastAsia" w:ascii="宋体" w:hAnsi="宋体" w:cs="宋体"/>
                <w:color w:val="000000"/>
                <w:kern w:val="0"/>
                <w:szCs w:val="21"/>
              </w:rPr>
              <w:t>；数据盘：≥2*SSD 3.84T U.2 企业级 2.5；</w:t>
            </w:r>
            <w:r>
              <w:rPr>
                <w:rFonts w:hint="eastAsia" w:ascii="宋体" w:hAnsi="宋体" w:cs="宋体"/>
                <w:color w:val="000000"/>
                <w:kern w:val="0"/>
                <w:szCs w:val="21"/>
              </w:rPr>
              <w:br w:type="textWrapping"/>
            </w:r>
            <w:r>
              <w:rPr>
                <w:rFonts w:hint="eastAsia" w:ascii="宋体" w:hAnsi="宋体" w:cs="宋体"/>
                <w:color w:val="000000"/>
                <w:kern w:val="0"/>
                <w:szCs w:val="21"/>
              </w:rPr>
              <w:t>4.内存: ≥16*64G DDR4 ECC RDIMM 3200Mhz5.</w:t>
            </w:r>
          </w:p>
          <w:p w14:paraId="42DBE5DB">
            <w:pPr>
              <w:widowControl/>
              <w:jc w:val="left"/>
              <w:rPr>
                <w:rFonts w:hint="eastAsia" w:ascii="宋体" w:hAnsi="宋体" w:cs="宋体"/>
                <w:color w:val="000000"/>
                <w:kern w:val="0"/>
                <w:szCs w:val="21"/>
              </w:rPr>
            </w:pPr>
            <w:r>
              <w:rPr>
                <w:rFonts w:hint="eastAsia" w:ascii="宋体" w:hAnsi="宋体" w:cs="宋体"/>
                <w:color w:val="000000"/>
                <w:kern w:val="0"/>
                <w:szCs w:val="21"/>
              </w:rPr>
              <w:t>阵列卡；独立SAS 12Gbps 阵列卡（缓存：</w:t>
            </w:r>
            <w:r>
              <w:rPr>
                <w:rFonts w:hint="eastAsia" w:ascii="宋体" w:hAnsi="宋体" w:cs="宋体"/>
                <w:color w:val="333333"/>
                <w:szCs w:val="21"/>
                <w:shd w:val="clear" w:color="auto" w:fill="FFFFFF"/>
              </w:rPr>
              <w:t>≥</w:t>
            </w:r>
            <w:r>
              <w:rPr>
                <w:rFonts w:hint="eastAsia" w:ascii="宋体" w:hAnsi="宋体" w:cs="宋体"/>
                <w:color w:val="000000"/>
                <w:kern w:val="0"/>
                <w:szCs w:val="21"/>
              </w:rPr>
              <w:t xml:space="preserve">4GB）， 支持RAID0,1,5,6,10,50,60和JBOD +超级电容  </w:t>
            </w:r>
            <w:r>
              <w:rPr>
                <w:rFonts w:hint="eastAsia" w:ascii="宋体" w:hAnsi="宋体" w:cs="宋体"/>
                <w:color w:val="000000"/>
                <w:kern w:val="0"/>
                <w:szCs w:val="21"/>
              </w:rPr>
              <w:br w:type="textWrapping"/>
            </w:r>
            <w:r>
              <w:rPr>
                <w:rFonts w:hint="eastAsia" w:ascii="宋体" w:hAnsi="宋体" w:cs="宋体"/>
                <w:color w:val="000000"/>
                <w:kern w:val="0"/>
                <w:szCs w:val="21"/>
              </w:rPr>
              <w:t xml:space="preserve">6.网络: </w:t>
            </w:r>
            <w:r>
              <w:rPr>
                <w:rFonts w:hint="eastAsia" w:ascii="宋体" w:hAnsi="宋体" w:cs="宋体"/>
                <w:color w:val="333333"/>
                <w:szCs w:val="21"/>
                <w:shd w:val="clear" w:color="auto" w:fill="FFFFFF"/>
              </w:rPr>
              <w:t>≥</w:t>
            </w:r>
            <w:r>
              <w:rPr>
                <w:rFonts w:hint="eastAsia" w:ascii="宋体" w:hAnsi="宋体" w:cs="宋体"/>
                <w:color w:val="000000"/>
                <w:kern w:val="0"/>
                <w:szCs w:val="21"/>
              </w:rPr>
              <w:t>8*200GE RoCE 高速接口，</w:t>
            </w:r>
            <w:r>
              <w:rPr>
                <w:rFonts w:hint="eastAsia" w:ascii="宋体" w:hAnsi="宋体" w:cs="宋体"/>
                <w:color w:val="333333"/>
                <w:szCs w:val="21"/>
                <w:shd w:val="clear" w:color="auto" w:fill="FFFFFF"/>
              </w:rPr>
              <w:t>≥</w:t>
            </w:r>
            <w:r>
              <w:rPr>
                <w:rFonts w:hint="eastAsia" w:ascii="宋体" w:hAnsi="宋体" w:cs="宋体"/>
                <w:color w:val="000000"/>
                <w:kern w:val="0"/>
                <w:szCs w:val="21"/>
              </w:rPr>
              <w:t>4*25GE/10GE光口(含模块)</w:t>
            </w:r>
          </w:p>
          <w:p w14:paraId="7D061872">
            <w:pPr>
              <w:pStyle w:val="5"/>
              <w:jc w:val="both"/>
              <w:rPr>
                <w:rFonts w:ascii="宋体" w:hAnsi="宋体" w:cs="宋体"/>
                <w:color w:val="000000"/>
                <w:sz w:val="21"/>
                <w:szCs w:val="21"/>
                <w:lang w:eastAsia="zh-CN"/>
              </w:rPr>
            </w:pPr>
            <w:r>
              <w:rPr>
                <w:rFonts w:hint="default" w:ascii="宋体" w:hAnsi="宋体" w:cs="宋体"/>
                <w:color w:val="000000"/>
                <w:sz w:val="21"/>
                <w:szCs w:val="21"/>
                <w:lang w:eastAsia="zh-CN"/>
              </w:rPr>
              <w:t>7</w:t>
            </w:r>
            <w:r>
              <w:rPr>
                <w:rFonts w:ascii="宋体" w:hAnsi="宋体" w:cs="宋体"/>
                <w:color w:val="000000"/>
                <w:sz w:val="21"/>
                <w:szCs w:val="21"/>
                <w:lang w:eastAsia="zh-CN"/>
              </w:rPr>
              <w:t>.AI管理平台：提供容器+镜像的管理，提供</w:t>
            </w:r>
            <w:r>
              <w:rPr>
                <w:rFonts w:hint="eastAsia" w:ascii="宋体" w:hAnsi="宋体" w:cs="宋体"/>
                <w:color w:val="000000"/>
                <w:sz w:val="21"/>
                <w:szCs w:val="21"/>
                <w:lang w:val="en-US" w:eastAsia="zh-CN"/>
              </w:rPr>
              <w:t>平台</w:t>
            </w:r>
            <w:r>
              <w:rPr>
                <w:rFonts w:ascii="宋体" w:hAnsi="宋体" w:cs="宋体"/>
                <w:color w:val="000000"/>
                <w:sz w:val="21"/>
                <w:szCs w:val="21"/>
                <w:lang w:eastAsia="zh-CN"/>
              </w:rPr>
              <w:t>集群的管理和调度，商业版集群管理与调度软件，兼容现有以及未来需要采购的算力服务器，统一管理资源池，后续可无限扩容；全套系统各组件支持冗余设计；支持查看集群中节点，包括主机名、节点类型（主控节点或计算节点）、系统IP、管理IP、CPU核数、</w:t>
            </w:r>
            <w:r>
              <w:rPr>
                <w:rFonts w:hint="eastAsia" w:ascii="宋体" w:hAnsi="宋体" w:cs="宋体"/>
                <w:color w:val="000000"/>
                <w:sz w:val="21"/>
                <w:szCs w:val="21"/>
                <w:lang w:val="en-US" w:eastAsia="zh-CN"/>
              </w:rPr>
              <w:t>N</w:t>
            </w:r>
            <w:r>
              <w:rPr>
                <w:rFonts w:ascii="宋体" w:hAnsi="宋体" w:cs="宋体"/>
                <w:color w:val="000000"/>
                <w:sz w:val="21"/>
                <w:szCs w:val="21"/>
                <w:lang w:eastAsia="zh-CN"/>
              </w:rPr>
              <w:t>PU卡数、内存容量（GB）、分区、运行状态、作业列表，支持远程管理节点，</w:t>
            </w:r>
            <w:r>
              <w:rPr>
                <w:rFonts w:ascii="宋体" w:hAnsi="宋体" w:eastAsia="宋体" w:cs="宋体"/>
                <w:color w:val="000000"/>
                <w:sz w:val="21"/>
                <w:szCs w:val="21"/>
                <w:lang w:eastAsia="zh-CN"/>
              </w:rPr>
              <w:t>兼容现有市场上主要服务器厂商的主流x86、arm、海光、power等芯片架构：支持</w:t>
            </w:r>
            <w:r>
              <w:rPr>
                <w:rFonts w:ascii="宋体" w:hAnsi="宋体" w:cs="宋体"/>
                <w:color w:val="000000"/>
                <w:sz w:val="21"/>
                <w:szCs w:val="21"/>
                <w:lang w:eastAsia="zh-CN"/>
              </w:rPr>
              <w:t>监控集群资源使用情况；支持集群平均利用率和平均显存利用率监控，支持镜像仓库，用于存储和管理容器镜像，支持版本控制，权限管理。</w:t>
            </w:r>
          </w:p>
          <w:p w14:paraId="037F2305">
            <w:pPr>
              <w:widowControl/>
              <w:jc w:val="left"/>
              <w:rPr>
                <w:rFonts w:hint="eastAsia" w:ascii="宋体" w:hAnsi="宋体" w:cs="宋体"/>
                <w:color w:val="000000"/>
                <w:kern w:val="0"/>
                <w:szCs w:val="21"/>
              </w:rPr>
            </w:pPr>
            <w:r>
              <w:rPr>
                <w:rFonts w:hint="eastAsia" w:ascii="宋体" w:hAnsi="宋体" w:cs="宋体"/>
                <w:color w:val="000000"/>
                <w:kern w:val="0"/>
                <w:szCs w:val="21"/>
              </w:rPr>
              <w:t>8.电源：</w:t>
            </w:r>
            <w:r>
              <w:rPr>
                <w:rFonts w:hint="eastAsia" w:ascii="宋体" w:hAnsi="宋体" w:cs="宋体"/>
                <w:color w:val="333333"/>
                <w:szCs w:val="21"/>
                <w:shd w:val="clear" w:color="auto" w:fill="FFFFFF"/>
              </w:rPr>
              <w:t>≥</w:t>
            </w:r>
            <w:r>
              <w:rPr>
                <w:rFonts w:hint="eastAsia" w:ascii="宋体" w:hAnsi="宋体" w:cs="宋体"/>
                <w:color w:val="000000"/>
                <w:kern w:val="0"/>
                <w:szCs w:val="21"/>
              </w:rPr>
              <w:t>2600W白金交流电源 *4</w:t>
            </w:r>
          </w:p>
          <w:p w14:paraId="7CBD8B14">
            <w:pPr>
              <w:widowControl/>
              <w:jc w:val="left"/>
              <w:rPr>
                <w:rFonts w:hint="eastAsia" w:ascii="宋体" w:hAnsi="宋体" w:eastAsia="宋体" w:cs="宋体"/>
                <w:color w:val="000000"/>
                <w:kern w:val="0"/>
                <w:szCs w:val="21"/>
              </w:rPr>
            </w:pPr>
            <w:r>
              <w:rPr>
                <w:rFonts w:hint="eastAsia" w:ascii="宋体" w:hAnsi="宋体" w:cs="宋体"/>
                <w:color w:val="000000"/>
                <w:kern w:val="0"/>
                <w:szCs w:val="21"/>
              </w:rPr>
              <w:t>9.AI服务器符合安全要求，通过安全要求检测。其中支持带外管理功能：主板有BMC芯片，支持IPMI\SNMP\Redfish协议，通过浏览器可以实现WEB远程登录，IPMI管理界面可以监控设备的温度、电压、转速、资源利用率等信息，可执行远程开关机；PCIe传输性能：在CPU到NPU带宽：≥24.1GB/s，NPU到CPU带宽：≥26GB/s；</w:t>
            </w:r>
            <w:r>
              <w:rPr>
                <w:rFonts w:hint="eastAsia" w:ascii="宋体" w:hAnsi="宋体" w:eastAsia="宋体" w:cs="宋体"/>
                <w:color w:val="000000"/>
                <w:kern w:val="0"/>
                <w:szCs w:val="21"/>
              </w:rPr>
              <w:t>平均故障修复时间：服务器配置自检功能及日志记录，能快速定位故障，采用模块化设计，部件更换简单，实测MTTR≤30min。</w:t>
            </w:r>
          </w:p>
          <w:p w14:paraId="30161132">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10.设备支持内存加固装置，加装固件后在GJB322A-98标准下经过振动，冲击，自由跌落等严格测试且符合标准。</w:t>
            </w:r>
          </w:p>
          <w:p w14:paraId="13887302">
            <w:pPr>
              <w:rPr>
                <w:rFonts w:hint="eastAsia" w:ascii="宋体" w:hAnsi="宋体" w:cs="宋体"/>
                <w:color w:val="000000"/>
                <w:kern w:val="0"/>
                <w:szCs w:val="21"/>
              </w:rPr>
            </w:pPr>
            <w:r>
              <w:rPr>
                <w:rFonts w:hint="eastAsia" w:ascii="宋体" w:hAnsi="宋体" w:cs="宋体"/>
                <w:color w:val="000000"/>
                <w:kern w:val="0"/>
                <w:szCs w:val="21"/>
              </w:rPr>
              <w:t>11.电源控制系统：监测控制线温过高、漏电、过压、欠压、过载、过流、烟雾、温湿度值高时自动智能保护断开供电控制，防雷失效联动控制电源关闭保护，自动智能生成动态故障提示、预警、告警信息并推送运维人员，漏电监测：≥6路，空开监测及通断控制：≥6路，自带时钟、远程更新采集数据功能、定时控制功能和联动控制保护功能；</w:t>
            </w:r>
          </w:p>
          <w:p w14:paraId="28E6AC90">
            <w:pPr>
              <w:widowControl/>
              <w:jc w:val="left"/>
              <w:textAlignment w:val="center"/>
              <w:rPr>
                <w:rFonts w:asciiTheme="minorEastAsia" w:hAnsiTheme="minorEastAsia"/>
              </w:rPr>
            </w:pPr>
            <w:r>
              <w:rPr>
                <w:rFonts w:hint="eastAsia" w:ascii="宋体" w:hAnsi="宋体" w:cs="宋体"/>
                <w:color w:val="000000"/>
                <w:kern w:val="0"/>
                <w:szCs w:val="21"/>
                <w:lang w:val="en-US" w:eastAsia="zh-CN"/>
              </w:rPr>
              <w:t>12.售后服务：提供5年7x24原厂上门服务。</w:t>
            </w:r>
          </w:p>
        </w:tc>
      </w:tr>
      <w:tr w14:paraId="7C9D88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68CC0597">
            <w:pPr>
              <w:adjustRightInd w:val="0"/>
              <w:snapToGrid w:val="0"/>
              <w:jc w:val="center"/>
              <w:rPr>
                <w:rFonts w:asciiTheme="minorEastAsia" w:hAnsiTheme="minorEastAsia"/>
                <w:bCs/>
                <w:szCs w:val="21"/>
              </w:rPr>
            </w:pPr>
            <w:r>
              <w:rPr>
                <w:rFonts w:hint="eastAsia" w:asciiTheme="minorEastAsia" w:hAnsiTheme="minorEastAsia"/>
                <w:bCs/>
                <w:szCs w:val="21"/>
              </w:rPr>
              <w:t>3</w:t>
            </w:r>
          </w:p>
        </w:tc>
        <w:tc>
          <w:tcPr>
            <w:tcW w:w="325" w:type="pct"/>
            <w:gridSpan w:val="2"/>
            <w:tcBorders>
              <w:top w:val="single" w:color="auto" w:sz="4" w:space="0"/>
              <w:left w:val="single" w:color="auto" w:sz="4" w:space="0"/>
              <w:bottom w:val="single" w:color="auto" w:sz="4" w:space="0"/>
              <w:right w:val="single" w:color="auto" w:sz="4" w:space="0"/>
            </w:tcBorders>
            <w:vAlign w:val="center"/>
          </w:tcPr>
          <w:p w14:paraId="4871F948">
            <w:pPr>
              <w:adjustRightInd w:val="0"/>
              <w:snapToGrid w:val="0"/>
              <w:jc w:val="center"/>
              <w:rPr>
                <w:rFonts w:asciiTheme="minorEastAsia" w:hAnsiTheme="minorEastAsia"/>
                <w:bCs/>
                <w:szCs w:val="21"/>
              </w:rPr>
            </w:pPr>
            <w:r>
              <w:rPr>
                <w:rFonts w:hint="eastAsia" w:ascii="宋体" w:hAnsi="宋体" w:eastAsia="宋体" w:cs="宋体"/>
                <w:color w:val="000000"/>
                <w:kern w:val="0"/>
                <w:sz w:val="21"/>
                <w:szCs w:val="21"/>
              </w:rPr>
              <w:t>通用大模型服务器</w:t>
            </w:r>
          </w:p>
        </w:tc>
        <w:tc>
          <w:tcPr>
            <w:tcW w:w="314" w:type="pct"/>
            <w:tcBorders>
              <w:top w:val="single" w:color="auto" w:sz="4" w:space="0"/>
              <w:left w:val="single" w:color="auto" w:sz="4" w:space="0"/>
              <w:bottom w:val="single" w:color="auto" w:sz="4" w:space="0"/>
              <w:right w:val="single" w:color="auto" w:sz="4" w:space="0"/>
            </w:tcBorders>
            <w:vAlign w:val="center"/>
          </w:tcPr>
          <w:p w14:paraId="27A28748">
            <w:pPr>
              <w:adjustRightInd w:val="0"/>
              <w:snapToGrid w:val="0"/>
              <w:jc w:val="center"/>
              <w:rPr>
                <w:rFonts w:hint="eastAsia" w:asciiTheme="minorEastAsia" w:hAnsiTheme="minorEastAsia" w:eastAsiaTheme="minorEastAsia"/>
                <w:bCs/>
                <w:szCs w:val="21"/>
                <w:lang w:eastAsia="zh-CN"/>
              </w:rPr>
            </w:pPr>
            <w:r>
              <w:rPr>
                <w:rFonts w:hint="eastAsia" w:asciiTheme="minorEastAsia" w:hAnsiTheme="minorEastAsia"/>
                <w:bCs/>
                <w:szCs w:val="21"/>
                <w:lang w:val="en-US" w:eastAsia="zh-CN"/>
              </w:rPr>
              <w:t>1</w:t>
            </w:r>
          </w:p>
        </w:tc>
        <w:tc>
          <w:tcPr>
            <w:tcW w:w="1139" w:type="pct"/>
            <w:tcBorders>
              <w:top w:val="single" w:color="auto" w:sz="4" w:space="0"/>
              <w:left w:val="single" w:color="auto" w:sz="4" w:space="0"/>
              <w:bottom w:val="single" w:color="auto" w:sz="4" w:space="0"/>
              <w:right w:val="single" w:color="auto" w:sz="4" w:space="0"/>
            </w:tcBorders>
            <w:vAlign w:val="center"/>
          </w:tcPr>
          <w:p w14:paraId="197641BE">
            <w:pPr>
              <w:adjustRightInd w:val="0"/>
              <w:snapToGrid w:val="0"/>
              <w:jc w:val="center"/>
              <w:rPr>
                <w:rFonts w:asciiTheme="minorEastAsia" w:hAnsiTheme="minorEastAsia"/>
                <w:bCs/>
                <w:szCs w:val="21"/>
              </w:rPr>
            </w:pPr>
            <w:r>
              <w:rPr>
                <w:rFonts w:hint="eastAsia" w:cs="仿宋" w:asciiTheme="minorEastAsia" w:hAnsiTheme="minorEastAsia"/>
                <w:szCs w:val="21"/>
                <w:lang w:val="en-US" w:eastAsia="zh-CN"/>
              </w:rPr>
              <w:t>广电五舟，中兴通讯，浪潮，中科可控</w:t>
            </w:r>
          </w:p>
        </w:tc>
        <w:tc>
          <w:tcPr>
            <w:tcW w:w="2894" w:type="pct"/>
            <w:gridSpan w:val="2"/>
            <w:tcBorders>
              <w:top w:val="single" w:color="auto" w:sz="4" w:space="0"/>
              <w:left w:val="single" w:color="auto" w:sz="4" w:space="0"/>
              <w:bottom w:val="single" w:color="auto" w:sz="4" w:space="0"/>
              <w:right w:val="single" w:color="auto" w:sz="4" w:space="0"/>
            </w:tcBorders>
            <w:vAlign w:val="center"/>
          </w:tcPr>
          <w:p w14:paraId="0B5702DD">
            <w:pPr>
              <w:widowControl/>
              <w:numPr>
                <w:ilvl w:val="0"/>
                <w:numId w:val="1"/>
              </w:numPr>
              <w:jc w:val="left"/>
              <w:rPr>
                <w:rFonts w:hint="eastAsia" w:ascii="宋体" w:hAnsi="宋体" w:cs="宋体"/>
                <w:color w:val="000000"/>
                <w:kern w:val="0"/>
                <w:szCs w:val="21"/>
              </w:rPr>
            </w:pPr>
            <w:r>
              <w:rPr>
                <w:rFonts w:hint="eastAsia" w:ascii="宋体" w:hAnsi="宋体" w:cs="宋体"/>
                <w:color w:val="000000"/>
                <w:kern w:val="0"/>
                <w:szCs w:val="21"/>
              </w:rPr>
              <w:t> CPU：2颗C86 CPU处理器，单颗≥24Core，主频≥2.2GHz</w:t>
            </w:r>
            <w:r>
              <w:rPr>
                <w:rFonts w:hint="eastAsia" w:ascii="宋体" w:hAnsi="宋体" w:cs="宋体"/>
                <w:color w:val="000000"/>
                <w:kern w:val="0"/>
                <w:szCs w:val="21"/>
                <w:lang w:eastAsia="zh-CN"/>
              </w:rPr>
              <w:t>；</w:t>
            </w:r>
            <w:r>
              <w:rPr>
                <w:rFonts w:hint="eastAsia" w:ascii="宋体" w:hAnsi="宋体" w:cs="宋体"/>
                <w:color w:val="000000"/>
                <w:kern w:val="0"/>
                <w:szCs w:val="21"/>
              </w:rPr>
              <w:br w:type="textWrapping"/>
            </w:r>
            <w:r>
              <w:rPr>
                <w:rFonts w:hint="eastAsia" w:ascii="宋体" w:hAnsi="宋体" w:cs="宋体"/>
                <w:color w:val="000000"/>
                <w:kern w:val="0"/>
                <w:szCs w:val="21"/>
              </w:rPr>
              <w:t>2. 内存：≥8*64GB DDR4 ECC RDIMM 3200Mhz</w:t>
            </w:r>
            <w:r>
              <w:rPr>
                <w:rFonts w:hint="eastAsia" w:ascii="宋体" w:hAnsi="宋体" w:cs="宋体"/>
                <w:color w:val="000000"/>
                <w:kern w:val="0"/>
                <w:szCs w:val="21"/>
                <w:lang w:eastAsia="zh-CN"/>
              </w:rPr>
              <w:t>；</w:t>
            </w:r>
            <w:r>
              <w:rPr>
                <w:rFonts w:hint="eastAsia" w:ascii="宋体" w:hAnsi="宋体" w:cs="宋体"/>
                <w:color w:val="000000"/>
                <w:kern w:val="0"/>
                <w:szCs w:val="21"/>
              </w:rPr>
              <w:br w:type="textWrapping"/>
            </w:r>
            <w:r>
              <w:rPr>
                <w:rFonts w:hint="eastAsia" w:ascii="宋体" w:hAnsi="宋体" w:cs="宋体"/>
                <w:color w:val="000000"/>
                <w:kern w:val="0"/>
                <w:szCs w:val="21"/>
              </w:rPr>
              <w:t>3. 系统盘: ≥ 2*SSD 960GB SATA 2.5</w:t>
            </w:r>
            <w:r>
              <w:rPr>
                <w:rFonts w:hint="eastAsia" w:ascii="宋体" w:hAnsi="宋体" w:cs="宋体"/>
                <w:color w:val="000000"/>
                <w:kern w:val="0"/>
                <w:szCs w:val="21"/>
                <w:lang w:val="en-US" w:eastAsia="zh-CN"/>
              </w:rPr>
              <w:t>寸</w:t>
            </w:r>
            <w:r>
              <w:rPr>
                <w:rFonts w:hint="eastAsia" w:ascii="宋体" w:hAnsi="宋体" w:cs="宋体"/>
                <w:color w:val="000000"/>
                <w:kern w:val="0"/>
                <w:szCs w:val="21"/>
              </w:rPr>
              <w:t>；数据盘：≥4*6TB SATA 企业级 3.5</w:t>
            </w:r>
            <w:r>
              <w:rPr>
                <w:rFonts w:hint="eastAsia" w:ascii="宋体" w:hAnsi="宋体" w:cs="宋体"/>
                <w:color w:val="000000"/>
                <w:kern w:val="0"/>
                <w:szCs w:val="21"/>
                <w:lang w:eastAsia="zh-CN"/>
              </w:rPr>
              <w:t>；</w:t>
            </w:r>
            <w:r>
              <w:rPr>
                <w:rFonts w:hint="eastAsia" w:ascii="宋体" w:hAnsi="宋体" w:cs="宋体"/>
                <w:color w:val="000000"/>
                <w:kern w:val="0"/>
                <w:szCs w:val="21"/>
              </w:rPr>
              <w:br w:type="textWrapping"/>
            </w:r>
            <w:r>
              <w:rPr>
                <w:rFonts w:hint="eastAsia" w:ascii="宋体" w:hAnsi="宋体" w:cs="宋体"/>
                <w:color w:val="000000"/>
                <w:kern w:val="0"/>
                <w:szCs w:val="21"/>
              </w:rPr>
              <w:t>4. 阵列卡：独立SAS 12Gbps 阵列卡（缓存：</w:t>
            </w:r>
            <w:r>
              <w:rPr>
                <w:rFonts w:hint="eastAsia" w:ascii="宋体" w:hAnsi="宋体" w:cs="宋体"/>
                <w:color w:val="333333"/>
                <w:szCs w:val="21"/>
                <w:shd w:val="clear" w:color="auto" w:fill="FFFFFF"/>
              </w:rPr>
              <w:t>≥</w:t>
            </w:r>
            <w:r>
              <w:rPr>
                <w:rFonts w:hint="eastAsia" w:ascii="宋体" w:hAnsi="宋体" w:cs="宋体"/>
                <w:color w:val="000000"/>
                <w:kern w:val="0"/>
                <w:szCs w:val="21"/>
              </w:rPr>
              <w:t>4GB）-RAID05.6,10,50,60</w:t>
            </w:r>
            <w:r>
              <w:rPr>
                <w:rFonts w:hint="eastAsia" w:ascii="宋体" w:hAnsi="宋体" w:cs="宋体"/>
                <w:color w:val="000000"/>
                <w:kern w:val="0"/>
                <w:szCs w:val="21"/>
                <w:lang w:eastAsia="zh-CN"/>
              </w:rPr>
              <w:t>；</w:t>
            </w:r>
            <w:r>
              <w:rPr>
                <w:rFonts w:hint="eastAsia" w:ascii="宋体" w:hAnsi="宋体" w:cs="宋体"/>
                <w:color w:val="000000"/>
                <w:kern w:val="0"/>
                <w:szCs w:val="21"/>
              </w:rPr>
              <w:br w:type="textWrapping"/>
            </w:r>
            <w:r>
              <w:rPr>
                <w:rFonts w:hint="eastAsia" w:ascii="宋体" w:hAnsi="宋体" w:cs="宋体"/>
                <w:color w:val="000000"/>
                <w:kern w:val="0"/>
                <w:szCs w:val="21"/>
              </w:rPr>
              <w:t>5. 网卡：</w:t>
            </w:r>
            <w:r>
              <w:rPr>
                <w:rFonts w:hint="eastAsia" w:ascii="宋体" w:hAnsi="宋体" w:cs="宋体"/>
                <w:color w:val="333333"/>
                <w:szCs w:val="21"/>
                <w:shd w:val="clear" w:color="auto" w:fill="FFFFFF"/>
              </w:rPr>
              <w:t>≥</w:t>
            </w:r>
            <w:r>
              <w:rPr>
                <w:rFonts w:hint="eastAsia" w:ascii="宋体" w:hAnsi="宋体" w:cs="宋体"/>
                <w:color w:val="000000"/>
                <w:kern w:val="0"/>
                <w:szCs w:val="21"/>
              </w:rPr>
              <w:t>2块网卡 双万兆网卡（含模块），</w:t>
            </w:r>
            <w:r>
              <w:rPr>
                <w:rFonts w:hint="eastAsia" w:ascii="宋体" w:hAnsi="宋体" w:cs="宋体"/>
                <w:color w:val="333333"/>
                <w:szCs w:val="21"/>
                <w:shd w:val="clear" w:color="auto" w:fill="FFFFFF"/>
              </w:rPr>
              <w:t>≥1块</w:t>
            </w:r>
            <w:r>
              <w:rPr>
                <w:rFonts w:hint="eastAsia" w:ascii="宋体" w:hAnsi="宋体" w:cs="宋体"/>
                <w:color w:val="000000"/>
                <w:kern w:val="0"/>
                <w:szCs w:val="21"/>
              </w:rPr>
              <w:t>双口千兆网卡</w:t>
            </w:r>
            <w:r>
              <w:rPr>
                <w:rFonts w:hint="eastAsia" w:ascii="宋体" w:hAnsi="宋体" w:cs="宋体"/>
                <w:color w:val="000000"/>
                <w:kern w:val="0"/>
                <w:szCs w:val="21"/>
                <w:lang w:eastAsia="zh-CN"/>
              </w:rPr>
              <w:t>；</w:t>
            </w:r>
          </w:p>
          <w:p w14:paraId="318DAAB8">
            <w:pPr>
              <w:widowControl/>
              <w:numPr>
                <w:ilvl w:val="0"/>
                <w:numId w:val="2"/>
              </w:numPr>
              <w:jc w:val="left"/>
              <w:rPr>
                <w:rFonts w:hint="eastAsia" w:ascii="宋体" w:hAnsi="宋体" w:cs="宋体"/>
                <w:color w:val="000000"/>
                <w:kern w:val="0"/>
                <w:szCs w:val="21"/>
              </w:rPr>
            </w:pPr>
            <w:r>
              <w:rPr>
                <w:rFonts w:hint="eastAsia" w:ascii="宋体" w:hAnsi="宋体" w:cs="宋体"/>
                <w:color w:val="000000"/>
                <w:kern w:val="0"/>
                <w:szCs w:val="21"/>
              </w:rPr>
              <w:t>GPU：配置≥4张GPU卡，单卡显存≥48GB，显存带宽≥864GB/S，cuda核心数≥7168，FP16≥119 TFLOPS，最大能扩展到8张双宽GPU卡，保证未来需求。</w:t>
            </w:r>
          </w:p>
          <w:p w14:paraId="5EEDF6EF">
            <w:pPr>
              <w:widowControl/>
              <w:numPr>
                <w:ilvl w:val="0"/>
                <w:numId w:val="2"/>
              </w:numPr>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交换机模块：48口光纤交换模块，交换容量≥4.8Tbps，包转发率≥2000Mpps；2.10G SFP+以太网端口数量≥48个，上行业务100G QSFP28以太网端口数量≥8个，提供≥48个10G多模光模块，提供≥2个40G单模光模块，需与现有设备堆叠和级联保证设备互联。</w:t>
            </w:r>
          </w:p>
          <w:p w14:paraId="59F6EE02">
            <w:pPr>
              <w:pStyle w:val="5"/>
              <w:jc w:val="both"/>
              <w:rPr>
                <w:rFonts w:ascii="宋体" w:hAnsi="宋体" w:cs="宋体"/>
                <w:color w:val="000000"/>
                <w:sz w:val="21"/>
                <w:szCs w:val="21"/>
                <w:lang w:eastAsia="zh-CN"/>
              </w:rPr>
            </w:pPr>
            <w:r>
              <w:rPr>
                <w:rFonts w:hint="eastAsia" w:ascii="宋体" w:hAnsi="宋体" w:cs="宋体"/>
                <w:color w:val="000000"/>
                <w:sz w:val="21"/>
                <w:szCs w:val="21"/>
                <w:lang w:val="en-US" w:eastAsia="zh-CN"/>
              </w:rPr>
              <w:t>8</w:t>
            </w:r>
            <w:r>
              <w:rPr>
                <w:rFonts w:ascii="宋体" w:hAnsi="宋体" w:cs="宋体"/>
                <w:color w:val="000000"/>
                <w:sz w:val="21"/>
                <w:szCs w:val="21"/>
                <w:lang w:eastAsia="zh-CN"/>
              </w:rPr>
              <w:t>.AI管理平台：提供容器+镜像的管理，提供GPU+CPU集群的管理和调度，</w:t>
            </w:r>
            <w:r>
              <w:rPr>
                <w:rFonts w:hint="eastAsia" w:ascii="宋体" w:hAnsi="宋体" w:eastAsia="宋体" w:cs="宋体"/>
                <w:color w:val="000000"/>
                <w:kern w:val="0"/>
                <w:sz w:val="21"/>
                <w:szCs w:val="21"/>
                <w:lang w:val="en-US" w:eastAsia="zh-CN" w:bidi="ar-SA"/>
              </w:rPr>
              <w:t>商业版集群管理与调度软件，兼容现有以及未来需要采购的算力服务器，统一管理GPU资源池，后续可无限扩容；全套系统各组件支持冗余设计，平台集成并行文件系统，并支持GDS(GPU Direct)功能，单计算节点失效不会影响整体集群的运行，单个存储节点失效不会导致数据丢失；单节点故障对应用透明，不影响应用的正常数据读取；所有节点之间，中断任意一个链路都不影响系统运行，支持查看集群中节点，包括主机名、节点类型（主控节点或计算节点）、系统IP、管理IP、CPU核数、GPU卡数、内存容量（GB）、分区、运行状态、作业列表，支持远程管理节点，兼容现有市场上主要服务器厂商的主流x86、arm、海光、power等芯片架构；支持监控集群GPU资源使用情况，支</w:t>
            </w:r>
            <w:r>
              <w:rPr>
                <w:rFonts w:ascii="宋体" w:hAnsi="宋体" w:cs="宋体"/>
                <w:color w:val="000000"/>
                <w:sz w:val="21"/>
                <w:szCs w:val="21"/>
                <w:lang w:eastAsia="zh-CN"/>
              </w:rPr>
              <w:t>持集群GPU平均利用率和平均显存利用率监控，支持镜像仓库，用于存储和管理容器镜像，支持版本控制，权限管理，支持从集群、资源组、节点三个维度进行资源的性能及使用统计情况，包括CPU利用率、GPU利用率、显存利用率、内存利用率、CPU使用核数、GPU使用卡数等信息，多数据中心管理，用户可以选择使用某一数据中心资源包括CPU利用率、GPU利用率、显存利用率、内存利用率、CPU使用核数、GPU使用卡数等信息，多数据中心管理，用户可以选择使用某一数据中心资源，应用模板中应包含应用提交、作业列表、作业操作、应用终端输出显示、作业提交目录数据查询、应用交互页面显示、应用运行占用CPU/内存等信息查看；支持用户自定义推理脚本文件，提供在线UI预测推理能力，为用户提供可调的用API接口；支持节点的动态扩容，扩容期间不影响业务，支持多台服务器的G</w:t>
            </w:r>
            <w:r>
              <w:rPr>
                <w:rFonts w:ascii="宋体" w:hAnsi="宋体" w:eastAsia="宋体" w:cs="宋体"/>
                <w:color w:val="000000"/>
                <w:sz w:val="21"/>
                <w:szCs w:val="21"/>
                <w:lang w:eastAsia="zh-CN"/>
              </w:rPr>
              <w:t>PU卡资源统一纳管，统一分配，支持GPU按照型号进行分组；支持单机单卡，单机多卡，多机多卡分配资源；提供单GPU卡多任务共享、GPU切</w:t>
            </w:r>
            <w:r>
              <w:rPr>
                <w:rFonts w:ascii="宋体" w:hAnsi="宋体" w:cs="宋体"/>
                <w:color w:val="000000"/>
                <w:sz w:val="21"/>
                <w:szCs w:val="21"/>
                <w:lang w:eastAsia="zh-CN"/>
              </w:rPr>
              <w:t>割（vGPU）方式分配资源，提升GPU利用率组织和用户优先级设定，管理员可对用户添加优先级（1-5），优先级高的优先调度资源，数据加速：支持用户在开发和训练时将样本数据预加载到计算节点，开发用户可以指定数据（个人/组内/公共）进行缓存操作，指定的数据会在训练前预加载到计算节点并自动挂载至容器环境；开发环境管理：支持用户按需选择CPU、GPU、内存等资源进行环境搭建（单机多卡、单机多卡、多机分布式模式），支持自动适配计算节点或人工指定计算节点；支持tensorflow、pytorch等主流AI框架，支持用户通过平台内置框架镜像或用户自定义镜像进行环境创建，支持直接使用dockerHub或NGC镜像创建开发环境；支持对空载环境的超时自动回收，管理员可设置空闲时长以及超时策略（超时提醒、是否自动停止），用户可以手动重启已停止的超时环境；在线开发：能够通过开发环境中Jupyter和web shell进行模型脚本的在线查看、编辑及调试训练等操作，支持通过开发环境对接第三方开发工具（如VSCode、PyCharm），满足研发人员线下开发的使用习惯；镜像管理：支持镜像按照全部、个人、组、公共分类图形化展示，支持智能排序和快速查找镜像；支持镜像的分享、删除和导出，导出时可实时查看导出进度；支持基于GPU 的openFOAM框架。提供内容审核功能，确保应用输出内容的安全性和合规性。在线服务端到端延迟 ≤ 50ms（90%请求）GPU利用率 ≥ 70%，空闲资源自动释放率 ≥ 90%。</w:t>
            </w:r>
          </w:p>
          <w:p w14:paraId="0C858FB3">
            <w:pPr>
              <w:rPr>
                <w:rFonts w:hint="eastAsia" w:ascii="宋体" w:hAnsi="宋体" w:cs="宋体"/>
                <w:color w:val="000000"/>
                <w:kern w:val="0"/>
                <w:szCs w:val="21"/>
              </w:rPr>
            </w:pPr>
            <w:r>
              <w:rPr>
                <w:rFonts w:hint="eastAsia" w:ascii="宋体" w:hAnsi="宋体" w:cs="宋体"/>
                <w:color w:val="000000"/>
                <w:kern w:val="0"/>
                <w:szCs w:val="21"/>
                <w:lang w:val="en-US" w:eastAsia="zh-CN"/>
              </w:rPr>
              <w:t>9</w:t>
            </w:r>
            <w:r>
              <w:rPr>
                <w:rFonts w:hint="eastAsia" w:ascii="宋体" w:hAnsi="宋体" w:cs="宋体"/>
                <w:color w:val="000000"/>
                <w:kern w:val="0"/>
                <w:szCs w:val="21"/>
              </w:rPr>
              <w:t>.配置推理模块：模块支持采用CUDA模式配合服务器运行并提供AI推理能力，</w:t>
            </w:r>
            <w:r>
              <w:rPr>
                <w:rFonts w:hint="eastAsia" w:ascii="宋体" w:hAnsi="宋体" w:eastAsia="宋体" w:cs="宋体"/>
                <w:color w:val="000000"/>
                <w:kern w:val="0"/>
                <w:sz w:val="21"/>
                <w:szCs w:val="21"/>
                <w:lang w:val="en-US" w:eastAsia="zh-CN" w:bidi="ar-SA"/>
              </w:rPr>
              <w:t>推理模块显存不低于128GB，高达 4 TB NVMe存储，不少于6000个CUDA核心，支持高达200B参数的大语言模型，并可支持TF32, FP16, BF16, INT8, FP8, FP6, FP4等精度，模块本身可支持本地部署LLM类(如DeepSeek-R1:70B，Qwen3-235B，Llama4:109B等)超大参数模型及传统cv视觉模型，可以提供prompt优化器和WebUI，支持线上自动编译；</w:t>
            </w:r>
          </w:p>
          <w:p w14:paraId="230DF5EB">
            <w:pPr>
              <w:rPr>
                <w:rFonts w:hint="eastAsia" w:ascii="宋体" w:hAnsi="宋体" w:cs="宋体"/>
                <w:color w:val="000000"/>
                <w:kern w:val="0"/>
                <w:szCs w:val="21"/>
              </w:rPr>
            </w:pPr>
            <w:r>
              <w:rPr>
                <w:rFonts w:hint="eastAsia" w:ascii="宋体" w:hAnsi="宋体" w:cs="宋体"/>
                <w:color w:val="000000"/>
                <w:kern w:val="0"/>
                <w:szCs w:val="21"/>
                <w:lang w:val="en-US" w:eastAsia="zh-CN"/>
              </w:rPr>
              <w:t>10</w:t>
            </w:r>
            <w:r>
              <w:rPr>
                <w:rFonts w:hint="eastAsia" w:ascii="宋体" w:hAnsi="宋体" w:cs="宋体"/>
                <w:color w:val="000000"/>
                <w:kern w:val="0"/>
                <w:szCs w:val="21"/>
              </w:rPr>
              <w:t>.电源：</w:t>
            </w:r>
            <w:r>
              <w:rPr>
                <w:rFonts w:hint="eastAsia" w:ascii="宋体" w:hAnsi="宋体" w:cs="宋体"/>
                <w:color w:val="000000"/>
                <w:szCs w:val="21"/>
                <w:shd w:val="clear" w:color="auto" w:fill="FFFFFF"/>
              </w:rPr>
              <w:t>≥</w:t>
            </w:r>
            <w:r>
              <w:rPr>
                <w:rFonts w:hint="eastAsia" w:ascii="宋体" w:hAnsi="宋体" w:cs="宋体"/>
                <w:color w:val="000000"/>
                <w:kern w:val="0"/>
                <w:szCs w:val="21"/>
              </w:rPr>
              <w:t>2200(3+1) 冗余电源。</w:t>
            </w:r>
          </w:p>
          <w:p w14:paraId="2EBDD5EE">
            <w:pPr>
              <w:widowControl/>
              <w:jc w:val="left"/>
              <w:textAlignment w:val="center"/>
              <w:rPr>
                <w:rFonts w:asciiTheme="minorEastAsia" w:hAnsiTheme="minorEastAsia"/>
                <w:szCs w:val="21"/>
              </w:rPr>
            </w:pPr>
            <w:r>
              <w:rPr>
                <w:rFonts w:hint="eastAsia" w:ascii="宋体" w:hAnsi="宋体" w:cs="宋体"/>
                <w:color w:val="000000"/>
                <w:kern w:val="0"/>
                <w:szCs w:val="21"/>
                <w:lang w:val="en-US" w:eastAsia="zh-CN"/>
              </w:rPr>
              <w:t>11.售后服务：提供5年7x24原厂上门服务。</w:t>
            </w:r>
          </w:p>
        </w:tc>
      </w:tr>
      <w:tr w14:paraId="334793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35D3893E">
            <w:pPr>
              <w:adjustRightInd w:val="0"/>
              <w:snapToGrid w:val="0"/>
              <w:jc w:val="center"/>
              <w:rPr>
                <w:rFonts w:asciiTheme="minorEastAsia" w:hAnsiTheme="minorEastAsia"/>
                <w:bCs/>
                <w:szCs w:val="21"/>
              </w:rPr>
            </w:pPr>
            <w:r>
              <w:rPr>
                <w:rFonts w:hint="eastAsia" w:asciiTheme="minorEastAsia" w:hAnsiTheme="minorEastAsia"/>
                <w:bCs/>
                <w:szCs w:val="21"/>
              </w:rPr>
              <w:t>4</w:t>
            </w:r>
          </w:p>
        </w:tc>
        <w:tc>
          <w:tcPr>
            <w:tcW w:w="325" w:type="pct"/>
            <w:gridSpan w:val="2"/>
            <w:tcBorders>
              <w:top w:val="single" w:color="auto" w:sz="4" w:space="0"/>
              <w:left w:val="single" w:color="auto" w:sz="4" w:space="0"/>
              <w:bottom w:val="single" w:color="auto" w:sz="4" w:space="0"/>
              <w:right w:val="single" w:color="auto" w:sz="4" w:space="0"/>
            </w:tcBorders>
            <w:vAlign w:val="center"/>
          </w:tcPr>
          <w:p w14:paraId="790D452C">
            <w:pPr>
              <w:adjustRightInd w:val="0"/>
              <w:snapToGrid w:val="0"/>
              <w:jc w:val="center"/>
              <w:rPr>
                <w:rFonts w:asciiTheme="minorEastAsia" w:hAnsiTheme="minorEastAsia"/>
                <w:bCs/>
                <w:szCs w:val="21"/>
              </w:rPr>
            </w:pPr>
            <w:r>
              <w:rPr>
                <w:rFonts w:hint="eastAsia" w:ascii="宋体" w:hAnsi="宋体" w:eastAsia="宋体" w:cs="宋体"/>
                <w:color w:val="000000"/>
                <w:kern w:val="0"/>
                <w:sz w:val="21"/>
                <w:szCs w:val="21"/>
                <w:lang w:val="en-US" w:eastAsia="zh-CN"/>
              </w:rPr>
              <w:t>服务器</w:t>
            </w:r>
          </w:p>
        </w:tc>
        <w:tc>
          <w:tcPr>
            <w:tcW w:w="314" w:type="pct"/>
            <w:tcBorders>
              <w:top w:val="single" w:color="auto" w:sz="4" w:space="0"/>
              <w:left w:val="single" w:color="auto" w:sz="4" w:space="0"/>
              <w:bottom w:val="single" w:color="auto" w:sz="4" w:space="0"/>
              <w:right w:val="single" w:color="auto" w:sz="4" w:space="0"/>
            </w:tcBorders>
            <w:vAlign w:val="center"/>
          </w:tcPr>
          <w:p w14:paraId="0FB5584B">
            <w:pPr>
              <w:adjustRightInd w:val="0"/>
              <w:snapToGrid w:val="0"/>
              <w:jc w:val="center"/>
              <w:rPr>
                <w:rFonts w:hint="eastAsia" w:asciiTheme="minorEastAsia" w:hAnsiTheme="minorEastAsia" w:eastAsiaTheme="minorEastAsia"/>
                <w:bCs/>
                <w:szCs w:val="21"/>
                <w:lang w:val="en-US" w:eastAsia="zh-CN"/>
              </w:rPr>
            </w:pPr>
            <w:r>
              <w:rPr>
                <w:rFonts w:hint="eastAsia" w:asciiTheme="minorEastAsia" w:hAnsiTheme="minorEastAsia"/>
                <w:bCs/>
                <w:szCs w:val="21"/>
                <w:lang w:val="en-US" w:eastAsia="zh-CN"/>
              </w:rPr>
              <w:t>4</w:t>
            </w:r>
          </w:p>
        </w:tc>
        <w:tc>
          <w:tcPr>
            <w:tcW w:w="1139" w:type="pct"/>
            <w:tcBorders>
              <w:top w:val="single" w:color="auto" w:sz="4" w:space="0"/>
              <w:left w:val="single" w:color="auto" w:sz="4" w:space="0"/>
              <w:bottom w:val="single" w:color="auto" w:sz="4" w:space="0"/>
              <w:right w:val="single" w:color="auto" w:sz="4" w:space="0"/>
            </w:tcBorders>
            <w:vAlign w:val="center"/>
          </w:tcPr>
          <w:p w14:paraId="7B828AA1">
            <w:pPr>
              <w:adjustRightInd w:val="0"/>
              <w:snapToGrid w:val="0"/>
              <w:jc w:val="center"/>
              <w:rPr>
                <w:rFonts w:asciiTheme="minorEastAsia" w:hAnsiTheme="minorEastAsia"/>
                <w:bCs/>
                <w:szCs w:val="21"/>
              </w:rPr>
            </w:pPr>
            <w:r>
              <w:rPr>
                <w:rFonts w:hint="eastAsia" w:cs="仿宋" w:asciiTheme="minorEastAsia" w:hAnsiTheme="minorEastAsia"/>
                <w:szCs w:val="21"/>
                <w:lang w:val="en-US" w:eastAsia="zh-CN"/>
              </w:rPr>
              <w:t>广电五舟，中兴通讯，浪潮，中科可控</w:t>
            </w:r>
          </w:p>
        </w:tc>
        <w:tc>
          <w:tcPr>
            <w:tcW w:w="2894" w:type="pct"/>
            <w:gridSpan w:val="2"/>
            <w:tcBorders>
              <w:top w:val="single" w:color="auto" w:sz="4" w:space="0"/>
              <w:left w:val="single" w:color="auto" w:sz="4" w:space="0"/>
              <w:bottom w:val="single" w:color="auto" w:sz="4" w:space="0"/>
              <w:right w:val="single" w:color="auto" w:sz="4" w:space="0"/>
            </w:tcBorders>
            <w:vAlign w:val="center"/>
          </w:tcPr>
          <w:p w14:paraId="04E83F28">
            <w:pP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1.基本要求：2U机架式C86架构服务器；处理器：配置≥1颗C86架构CPU，单颗≥16物理核心, 主频≥2.5GHz；</w:t>
            </w:r>
          </w:p>
          <w:p w14:paraId="1AC293F7">
            <w:pP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2.内存：配置≥2*32G DDR4内存；</w:t>
            </w:r>
          </w:p>
          <w:p w14:paraId="7075FB72">
            <w:pP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3.硬盘：系统盘配置≥2块2T 7.2K 6Gb/s SATA HDD 3.5；</w:t>
            </w:r>
          </w:p>
          <w:p w14:paraId="10BBEDD2">
            <w:pP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4.Raid卡：≥1张独立高级阵列卡，支持JBOD,Raid 0,1,5；</w:t>
            </w:r>
          </w:p>
          <w:p w14:paraId="425AF9FE">
            <w:pP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5.网卡：板载千兆网卡≥4口（非改配第三方配件，出厂自带）；</w:t>
            </w:r>
          </w:p>
          <w:p w14:paraId="12D2F222">
            <w:pP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6.电源：配置≥2个800W铂金电源；</w:t>
            </w:r>
          </w:p>
          <w:p w14:paraId="57E36FBE">
            <w:pP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7.IO接口：支持≥10个PCI-E （用于除RAID控制器、OCP扩展口）；前置≥1个VGA 口，≥2个USB 2 .0接口；后置≥1个VGA 口,≥1个串口，≥2个USB 3 .0接口。</w:t>
            </w:r>
          </w:p>
          <w:p w14:paraId="6771BA9A">
            <w:pP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8.可靠性：平均无故障时间≥20万小时。</w:t>
            </w:r>
          </w:p>
          <w:p w14:paraId="60802C86">
            <w:pPr>
              <w:widowControl/>
              <w:jc w:val="left"/>
              <w:textAlignment w:val="center"/>
              <w:rPr>
                <w:rFonts w:asciiTheme="minorEastAsia" w:hAnsiTheme="minorEastAsia"/>
                <w:szCs w:val="21"/>
              </w:rPr>
            </w:pPr>
            <w:r>
              <w:rPr>
                <w:rFonts w:hint="eastAsia" w:ascii="宋体" w:hAnsi="宋体" w:cs="宋体"/>
                <w:color w:val="000000"/>
                <w:kern w:val="0"/>
                <w:szCs w:val="21"/>
                <w:lang w:val="en-US" w:eastAsia="zh-CN"/>
              </w:rPr>
              <w:t>9.售后服务：提供5年7x24原厂上门服务。</w:t>
            </w:r>
          </w:p>
        </w:tc>
      </w:tr>
      <w:tr w14:paraId="0C1CA2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 w:type="pct"/>
          <w:trHeight w:val="567" w:hRule="atLeast"/>
          <w:jc w:val="center"/>
        </w:trPr>
        <w:tc>
          <w:tcPr>
            <w:tcW w:w="4994" w:type="pct"/>
            <w:gridSpan w:val="6"/>
            <w:tcBorders>
              <w:top w:val="single" w:color="auto" w:sz="4" w:space="0"/>
              <w:left w:val="single" w:color="auto" w:sz="4" w:space="0"/>
              <w:bottom w:val="single" w:color="auto" w:sz="4" w:space="0"/>
              <w:right w:val="single" w:color="auto" w:sz="4" w:space="0"/>
            </w:tcBorders>
            <w:vAlign w:val="center"/>
          </w:tcPr>
          <w:p w14:paraId="205420FC">
            <w:pPr>
              <w:widowControl/>
              <w:adjustRightInd w:val="0"/>
              <w:snapToGrid w:val="0"/>
              <w:jc w:val="left"/>
              <w:rPr>
                <w:rFonts w:asciiTheme="minorEastAsia" w:hAnsiTheme="minorEastAsia"/>
                <w:b/>
                <w:kern w:val="0"/>
                <w:szCs w:val="21"/>
              </w:rPr>
            </w:pPr>
            <w:r>
              <w:rPr>
                <w:rFonts w:hint="eastAsia" w:asciiTheme="minorEastAsia" w:hAnsiTheme="minorEastAsia"/>
                <w:b/>
                <w:szCs w:val="21"/>
              </w:rPr>
              <w:t>商务及其他要求表</w:t>
            </w:r>
          </w:p>
        </w:tc>
      </w:tr>
      <w:tr w14:paraId="383DE4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 w:type="pct"/>
          <w:trHeight w:val="567" w:hRule="atLeast"/>
          <w:jc w:val="center"/>
        </w:trPr>
        <w:tc>
          <w:tcPr>
            <w:tcW w:w="520" w:type="pct"/>
            <w:gridSpan w:val="2"/>
            <w:tcBorders>
              <w:top w:val="single" w:color="auto" w:sz="4" w:space="0"/>
              <w:left w:val="single" w:color="auto" w:sz="4" w:space="0"/>
              <w:bottom w:val="single" w:color="auto" w:sz="4" w:space="0"/>
              <w:right w:val="single" w:color="auto" w:sz="4" w:space="0"/>
            </w:tcBorders>
            <w:vAlign w:val="center"/>
          </w:tcPr>
          <w:p w14:paraId="27059CC3">
            <w:pPr>
              <w:adjustRightInd w:val="0"/>
              <w:snapToGrid w:val="0"/>
              <w:jc w:val="center"/>
              <w:rPr>
                <w:rFonts w:asciiTheme="minorEastAsia" w:hAnsiTheme="minorEastAsia"/>
                <w:szCs w:val="21"/>
              </w:rPr>
            </w:pPr>
            <w:r>
              <w:rPr>
                <w:rFonts w:hint="eastAsia" w:asciiTheme="minorEastAsia" w:hAnsiTheme="minorEastAsia"/>
                <w:szCs w:val="21"/>
              </w:rPr>
              <w:t>交付使用时间及交货地点</w:t>
            </w:r>
          </w:p>
        </w:tc>
        <w:tc>
          <w:tcPr>
            <w:tcW w:w="4473" w:type="pct"/>
            <w:gridSpan w:val="4"/>
            <w:tcBorders>
              <w:top w:val="single" w:color="auto" w:sz="4" w:space="0"/>
              <w:left w:val="single" w:color="auto" w:sz="4" w:space="0"/>
              <w:bottom w:val="single" w:color="auto" w:sz="4" w:space="0"/>
              <w:right w:val="single" w:color="auto" w:sz="4" w:space="0"/>
            </w:tcBorders>
            <w:vAlign w:val="center"/>
          </w:tcPr>
          <w:p w14:paraId="1E4A7EF0">
            <w:pPr>
              <w:adjustRightInd w:val="0"/>
              <w:snapToGrid w:val="0"/>
              <w:rPr>
                <w:rFonts w:asciiTheme="minorEastAsia" w:hAnsiTheme="minorEastAsia"/>
                <w:szCs w:val="21"/>
              </w:rPr>
            </w:pPr>
            <w:r>
              <w:rPr>
                <w:rFonts w:hint="eastAsia" w:asciiTheme="minorEastAsia" w:hAnsiTheme="minorEastAsia"/>
                <w:szCs w:val="21"/>
              </w:rPr>
              <w:t>1.交付使用时间：自签订合同之日起</w:t>
            </w:r>
            <w:r>
              <w:rPr>
                <w:rFonts w:hint="eastAsia" w:asciiTheme="minorEastAsia" w:hAnsiTheme="minorEastAsia"/>
                <w:szCs w:val="21"/>
                <w:lang w:val="en-US" w:eastAsia="zh-CN"/>
              </w:rPr>
              <w:t>4</w:t>
            </w:r>
            <w:r>
              <w:rPr>
                <w:rFonts w:hint="eastAsia" w:asciiTheme="minorEastAsia" w:hAnsiTheme="minorEastAsia"/>
                <w:szCs w:val="21"/>
              </w:rPr>
              <w:t>0个自然日内验收合格并交付使用。</w:t>
            </w:r>
          </w:p>
          <w:p w14:paraId="758BEA27">
            <w:pPr>
              <w:widowControl/>
              <w:shd w:val="clear" w:color="auto" w:fill="FFFFFF"/>
              <w:adjustRightInd w:val="0"/>
              <w:snapToGrid w:val="0"/>
              <w:rPr>
                <w:rFonts w:asciiTheme="minorEastAsia" w:hAnsiTheme="minorEastAsia"/>
                <w:szCs w:val="21"/>
              </w:rPr>
            </w:pPr>
            <w:r>
              <w:rPr>
                <w:rFonts w:hint="eastAsia" w:asciiTheme="minorEastAsia" w:hAnsiTheme="minorEastAsia"/>
                <w:szCs w:val="21"/>
              </w:rPr>
              <w:t>2.交货地点：福建省福州市仓山区首山路80号福建船政交通职业学院校内（采购人指定地点）</w:t>
            </w:r>
          </w:p>
        </w:tc>
      </w:tr>
      <w:tr w14:paraId="57CE4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 w:type="pct"/>
          <w:trHeight w:val="567" w:hRule="atLeast"/>
          <w:jc w:val="center"/>
        </w:trPr>
        <w:tc>
          <w:tcPr>
            <w:tcW w:w="520" w:type="pct"/>
            <w:gridSpan w:val="2"/>
            <w:tcBorders>
              <w:top w:val="single" w:color="auto" w:sz="4" w:space="0"/>
              <w:left w:val="single" w:color="auto" w:sz="4" w:space="0"/>
              <w:bottom w:val="single" w:color="auto" w:sz="4" w:space="0"/>
              <w:right w:val="single" w:color="auto" w:sz="4" w:space="0"/>
            </w:tcBorders>
            <w:vAlign w:val="center"/>
          </w:tcPr>
          <w:p w14:paraId="523F9824">
            <w:pPr>
              <w:adjustRightInd w:val="0"/>
              <w:snapToGrid w:val="0"/>
              <w:jc w:val="center"/>
              <w:rPr>
                <w:rFonts w:asciiTheme="minorEastAsia" w:hAnsiTheme="minorEastAsia"/>
                <w:szCs w:val="21"/>
              </w:rPr>
            </w:pPr>
            <w:r>
              <w:rPr>
                <w:rFonts w:hint="eastAsia" w:asciiTheme="minorEastAsia" w:hAnsiTheme="minorEastAsia"/>
                <w:szCs w:val="21"/>
              </w:rPr>
              <w:t>售后服务要求</w:t>
            </w:r>
          </w:p>
        </w:tc>
        <w:tc>
          <w:tcPr>
            <w:tcW w:w="4473" w:type="pct"/>
            <w:gridSpan w:val="4"/>
            <w:tcBorders>
              <w:top w:val="single" w:color="auto" w:sz="4" w:space="0"/>
              <w:left w:val="single" w:color="auto" w:sz="4" w:space="0"/>
              <w:bottom w:val="single" w:color="auto" w:sz="4" w:space="0"/>
              <w:right w:val="single" w:color="auto" w:sz="4" w:space="0"/>
            </w:tcBorders>
            <w:vAlign w:val="center"/>
          </w:tcPr>
          <w:p w14:paraId="36CECB8A">
            <w:pPr>
              <w:adjustRightInd w:val="0"/>
              <w:snapToGrid w:val="0"/>
              <w:rPr>
                <w:rFonts w:asciiTheme="minorEastAsia" w:hAnsiTheme="minorEastAsia"/>
                <w:szCs w:val="21"/>
              </w:rPr>
            </w:pPr>
            <w:r>
              <w:rPr>
                <w:rFonts w:hint="eastAsia" w:asciiTheme="minorEastAsia" w:hAnsiTheme="minorEastAsia"/>
                <w:szCs w:val="21"/>
              </w:rPr>
              <w:t>1.送货上门，安装调试。</w:t>
            </w:r>
          </w:p>
          <w:p w14:paraId="100C1A6F">
            <w:pPr>
              <w:adjustRightInd w:val="0"/>
              <w:snapToGrid w:val="0"/>
              <w:rPr>
                <w:rFonts w:asciiTheme="minorEastAsia" w:hAnsiTheme="minorEastAsia"/>
                <w:szCs w:val="21"/>
              </w:rPr>
            </w:pPr>
            <w:r>
              <w:rPr>
                <w:rFonts w:hint="eastAsia" w:asciiTheme="minorEastAsia" w:hAnsiTheme="minorEastAsia"/>
                <w:szCs w:val="21"/>
              </w:rPr>
              <w:t>2.质保期原厂不少于</w:t>
            </w:r>
            <w:r>
              <w:rPr>
                <w:rFonts w:hint="eastAsia" w:asciiTheme="minorEastAsia" w:hAnsiTheme="minorEastAsia"/>
                <w:szCs w:val="21"/>
                <w:lang w:val="en-US" w:eastAsia="zh-CN"/>
              </w:rPr>
              <w:t>5</w:t>
            </w:r>
            <w:r>
              <w:rPr>
                <w:rFonts w:hint="eastAsia" w:asciiTheme="minorEastAsia" w:hAnsiTheme="minorEastAsia"/>
                <w:szCs w:val="21"/>
              </w:rPr>
              <w:t>年</w:t>
            </w:r>
            <w:r>
              <w:rPr>
                <w:rFonts w:hint="eastAsia" w:asciiTheme="minorEastAsia" w:hAnsiTheme="minorEastAsia"/>
                <w:color w:val="000000" w:themeColor="text1"/>
                <w:szCs w:val="21"/>
                <w14:textFill>
                  <w14:solidFill>
                    <w14:schemeClr w14:val="tx1"/>
                  </w14:solidFill>
                </w14:textFill>
              </w:rPr>
              <w:t>（竞标人承诺质保期延长的则按承诺执行），质保期以通过项目最终验收的验收报告签字日开始计算。软件提</w:t>
            </w:r>
            <w:bookmarkStart w:id="0" w:name="_GoBack"/>
            <w:r>
              <w:rPr>
                <w:rFonts w:hint="eastAsia" w:asciiTheme="minorEastAsia" w:hAnsiTheme="minorEastAsia"/>
                <w:szCs w:val="21"/>
              </w:rPr>
              <w:t>供不少于</w:t>
            </w:r>
            <w:r>
              <w:rPr>
                <w:rFonts w:hint="eastAsia" w:asciiTheme="minorEastAsia" w:hAnsiTheme="minorEastAsia"/>
                <w:szCs w:val="21"/>
                <w:lang w:val="en-US" w:eastAsia="zh-CN"/>
              </w:rPr>
              <w:t>5</w:t>
            </w:r>
            <w:r>
              <w:rPr>
                <w:rFonts w:hint="eastAsia" w:asciiTheme="minorEastAsia" w:hAnsiTheme="minorEastAsia"/>
                <w:szCs w:val="21"/>
              </w:rPr>
              <w:t>年免费</w:t>
            </w:r>
            <w:bookmarkEnd w:id="0"/>
            <w:r>
              <w:rPr>
                <w:rFonts w:hint="eastAsia" w:asciiTheme="minorEastAsia" w:hAnsiTheme="minorEastAsia"/>
                <w:color w:val="000000" w:themeColor="text1"/>
                <w:szCs w:val="21"/>
                <w14:textFill>
                  <w14:solidFill>
                    <w14:schemeClr w14:val="tx1"/>
                  </w14:solidFill>
                </w14:textFill>
              </w:rPr>
              <w:t>升级</w:t>
            </w:r>
            <w:r>
              <w:rPr>
                <w:rFonts w:hint="eastAsia" w:asciiTheme="minorEastAsia" w:hAnsiTheme="minorEastAsia"/>
                <w:szCs w:val="21"/>
              </w:rPr>
              <w:t>。</w:t>
            </w:r>
          </w:p>
          <w:p w14:paraId="03DF4FD7">
            <w:pPr>
              <w:adjustRightInd w:val="0"/>
              <w:snapToGrid w:val="0"/>
              <w:rPr>
                <w:rFonts w:asciiTheme="minorEastAsia" w:hAnsiTheme="minorEastAsia"/>
                <w:szCs w:val="21"/>
              </w:rPr>
            </w:pPr>
            <w:r>
              <w:rPr>
                <w:rFonts w:hint="eastAsia" w:asciiTheme="minorEastAsia" w:hAnsiTheme="minorEastAsia"/>
                <w:szCs w:val="21"/>
              </w:rPr>
              <w:t>3.接到采购人的服务要求后2小时内予以响应，4小时内提出相应的解决方案，12小时内无法远程解决的故障，至少应在24小时内到达现场处理。对于不能及时解决问题的软件缺陷或硬件故障，中标人应书面承诺解决问题的日期，并提供相同档次的替代品供采购人使用，使设备正常工作。</w:t>
            </w:r>
          </w:p>
        </w:tc>
      </w:tr>
      <w:tr w14:paraId="41C9E5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 w:type="pct"/>
          <w:trHeight w:val="567" w:hRule="atLeast"/>
          <w:jc w:val="center"/>
        </w:trPr>
        <w:tc>
          <w:tcPr>
            <w:tcW w:w="520" w:type="pct"/>
            <w:gridSpan w:val="2"/>
            <w:tcBorders>
              <w:top w:val="single" w:color="auto" w:sz="4" w:space="0"/>
              <w:left w:val="single" w:color="auto" w:sz="4" w:space="0"/>
              <w:bottom w:val="single" w:color="auto" w:sz="4" w:space="0"/>
              <w:right w:val="single" w:color="auto" w:sz="4" w:space="0"/>
            </w:tcBorders>
            <w:vAlign w:val="center"/>
          </w:tcPr>
          <w:p w14:paraId="71880D52">
            <w:pPr>
              <w:adjustRightInd w:val="0"/>
              <w:snapToGrid w:val="0"/>
              <w:jc w:val="center"/>
              <w:rPr>
                <w:rFonts w:asciiTheme="minorEastAsia" w:hAnsiTheme="minorEastAsia"/>
                <w:szCs w:val="21"/>
              </w:rPr>
            </w:pPr>
            <w:r>
              <w:rPr>
                <w:rFonts w:hint="eastAsia" w:asciiTheme="minorEastAsia" w:hAnsiTheme="minorEastAsia"/>
                <w:szCs w:val="21"/>
              </w:rPr>
              <w:t>履约</w:t>
            </w:r>
          </w:p>
          <w:p w14:paraId="2A8029C6">
            <w:pPr>
              <w:adjustRightInd w:val="0"/>
              <w:snapToGrid w:val="0"/>
              <w:jc w:val="center"/>
              <w:rPr>
                <w:rFonts w:asciiTheme="minorEastAsia" w:hAnsiTheme="minorEastAsia"/>
                <w:szCs w:val="21"/>
              </w:rPr>
            </w:pPr>
            <w:r>
              <w:rPr>
                <w:rFonts w:hint="eastAsia" w:asciiTheme="minorEastAsia" w:hAnsiTheme="minorEastAsia"/>
                <w:szCs w:val="21"/>
              </w:rPr>
              <w:t>保证金</w:t>
            </w:r>
          </w:p>
        </w:tc>
        <w:tc>
          <w:tcPr>
            <w:tcW w:w="4473" w:type="pct"/>
            <w:gridSpan w:val="4"/>
            <w:tcBorders>
              <w:top w:val="single" w:color="auto" w:sz="4" w:space="0"/>
              <w:left w:val="single" w:color="auto" w:sz="4" w:space="0"/>
              <w:bottom w:val="single" w:color="auto" w:sz="4" w:space="0"/>
              <w:right w:val="single" w:color="auto" w:sz="4" w:space="0"/>
            </w:tcBorders>
            <w:vAlign w:val="center"/>
          </w:tcPr>
          <w:p w14:paraId="33E25B0C">
            <w:pPr>
              <w:adjustRightInd w:val="0"/>
              <w:snapToGrid w:val="0"/>
              <w:jc w:val="left"/>
              <w:rPr>
                <w:rFonts w:asciiTheme="minorEastAsia" w:hAnsiTheme="minorEastAsia"/>
                <w:szCs w:val="21"/>
              </w:rPr>
            </w:pPr>
            <w:r>
              <w:rPr>
                <w:rFonts w:hint="eastAsia" w:asciiTheme="minorEastAsia" w:hAnsiTheme="minorEastAsia"/>
                <w:szCs w:val="21"/>
              </w:rPr>
              <w:t>1.在合同签订时，中标人向采购人缴纳合同总金额的5.0%作为履约保证金。</w:t>
            </w:r>
          </w:p>
          <w:p w14:paraId="2BA5CE2E">
            <w:pPr>
              <w:adjustRightInd w:val="0"/>
              <w:snapToGrid w:val="0"/>
              <w:jc w:val="left"/>
              <w:rPr>
                <w:rFonts w:ascii="仿宋_GB2312" w:eastAsia="仿宋_GB2312"/>
                <w:color w:val="FF0000"/>
                <w:sz w:val="24"/>
              </w:rPr>
            </w:pPr>
            <w:r>
              <w:rPr>
                <w:rFonts w:hint="eastAsia" w:asciiTheme="minorEastAsia" w:hAnsiTheme="minorEastAsia"/>
                <w:szCs w:val="21"/>
              </w:rPr>
              <w:t>2.中标人若以电子保函形式提交履约保证金的，要求提供独立保函且保函期限覆盖本项目合同期限。中标人若以其他方式提交履约保证金的，该履约保证金在项目最终验收合格之日起至合同期满后，待中标人完整履行合同，且无质量问题，采购人予以无息退还履约保证金。</w:t>
            </w:r>
          </w:p>
        </w:tc>
      </w:tr>
      <w:tr w14:paraId="70F70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 w:type="pct"/>
          <w:trHeight w:val="567" w:hRule="atLeast"/>
          <w:jc w:val="center"/>
        </w:trPr>
        <w:tc>
          <w:tcPr>
            <w:tcW w:w="520" w:type="pct"/>
            <w:gridSpan w:val="2"/>
            <w:tcBorders>
              <w:top w:val="single" w:color="auto" w:sz="4" w:space="0"/>
              <w:left w:val="single" w:color="auto" w:sz="4" w:space="0"/>
              <w:bottom w:val="single" w:color="auto" w:sz="4" w:space="0"/>
              <w:right w:val="single" w:color="auto" w:sz="4" w:space="0"/>
            </w:tcBorders>
            <w:vAlign w:val="center"/>
          </w:tcPr>
          <w:p w14:paraId="3065D951">
            <w:pPr>
              <w:adjustRightInd w:val="0"/>
              <w:snapToGrid w:val="0"/>
              <w:jc w:val="center"/>
              <w:rPr>
                <w:rFonts w:asciiTheme="minorEastAsia" w:hAnsiTheme="minorEastAsia"/>
                <w:szCs w:val="21"/>
              </w:rPr>
            </w:pPr>
            <w:r>
              <w:rPr>
                <w:rFonts w:hint="eastAsia" w:asciiTheme="minorEastAsia" w:hAnsiTheme="minorEastAsia"/>
                <w:szCs w:val="21"/>
              </w:rPr>
              <w:t>验收</w:t>
            </w:r>
          </w:p>
          <w:p w14:paraId="52C54ED3">
            <w:pPr>
              <w:adjustRightInd w:val="0"/>
              <w:snapToGrid w:val="0"/>
              <w:jc w:val="center"/>
              <w:rPr>
                <w:rFonts w:asciiTheme="minorEastAsia" w:hAnsiTheme="minorEastAsia"/>
                <w:szCs w:val="21"/>
              </w:rPr>
            </w:pPr>
            <w:r>
              <w:rPr>
                <w:rFonts w:hint="eastAsia" w:asciiTheme="minorEastAsia" w:hAnsiTheme="minorEastAsia"/>
                <w:szCs w:val="21"/>
              </w:rPr>
              <w:t>要求</w:t>
            </w:r>
          </w:p>
        </w:tc>
        <w:tc>
          <w:tcPr>
            <w:tcW w:w="4473" w:type="pct"/>
            <w:gridSpan w:val="4"/>
            <w:tcBorders>
              <w:top w:val="single" w:color="auto" w:sz="4" w:space="0"/>
              <w:left w:val="single" w:color="auto" w:sz="4" w:space="0"/>
              <w:bottom w:val="single" w:color="auto" w:sz="4" w:space="0"/>
              <w:right w:val="single" w:color="auto" w:sz="4" w:space="0"/>
            </w:tcBorders>
            <w:vAlign w:val="center"/>
          </w:tcPr>
          <w:p w14:paraId="2005528F">
            <w:pPr>
              <w:widowControl/>
              <w:adjustRightInd w:val="0"/>
              <w:snapToGrid w:val="0"/>
              <w:jc w:val="left"/>
              <w:rPr>
                <w:rFonts w:asciiTheme="minorEastAsia" w:hAnsiTheme="minorEastAsia"/>
                <w:szCs w:val="21"/>
              </w:rPr>
            </w:pPr>
            <w:r>
              <w:rPr>
                <w:rFonts w:hint="eastAsia" w:asciiTheme="minorEastAsia" w:hAnsiTheme="minorEastAsia"/>
                <w:szCs w:val="21"/>
              </w:rPr>
              <w:t>1.验收活动开始前，中标人应对货物作出全面检查和对验收文件进行整理，并列出清单，作为采购人收货验收和使用的技术条件依据。</w:t>
            </w:r>
          </w:p>
          <w:p w14:paraId="77049B58">
            <w:pPr>
              <w:widowControl/>
              <w:adjustRightInd w:val="0"/>
              <w:snapToGrid w:val="0"/>
              <w:jc w:val="left"/>
              <w:rPr>
                <w:rFonts w:asciiTheme="minorEastAsia" w:hAnsiTheme="minorEastAsia"/>
                <w:szCs w:val="21"/>
              </w:rPr>
            </w:pPr>
            <w:r>
              <w:rPr>
                <w:rFonts w:hint="eastAsia" w:asciiTheme="minorEastAsia" w:hAnsiTheme="minorEastAsia"/>
                <w:szCs w:val="21"/>
              </w:rPr>
              <w:t>3.中标人须严格按照招标文件供货。因中标人提供货物与招标文件不符，导致验收不合格，则由中标人按照招标文件进行更换，需要再次组织验收的，由此产生相关成本费用（含退换货费用）由中标人承担。</w:t>
            </w:r>
          </w:p>
          <w:p w14:paraId="2C545F02">
            <w:pPr>
              <w:widowControl/>
              <w:adjustRightInd w:val="0"/>
              <w:snapToGrid w:val="0"/>
              <w:jc w:val="left"/>
              <w:rPr>
                <w:rFonts w:asciiTheme="minorEastAsia" w:hAnsiTheme="minorEastAsia"/>
                <w:szCs w:val="21"/>
              </w:rPr>
            </w:pPr>
            <w:r>
              <w:rPr>
                <w:rFonts w:hint="eastAsia" w:asciiTheme="minorEastAsia" w:hAnsiTheme="minorEastAsia"/>
                <w:szCs w:val="21"/>
              </w:rPr>
              <w:t>4.验收时中标人提供验收文档，可包含但不限于：技术方案、实施方案、售后服务方案、培训方案、测试文档、使用说明书、电子文档（如有）等。</w:t>
            </w:r>
          </w:p>
          <w:p w14:paraId="6351BD0C">
            <w:pPr>
              <w:widowControl/>
              <w:adjustRightInd w:val="0"/>
              <w:snapToGrid w:val="0"/>
              <w:jc w:val="left"/>
              <w:rPr>
                <w:rFonts w:asciiTheme="minorEastAsia" w:hAnsiTheme="minorEastAsia"/>
                <w:szCs w:val="21"/>
              </w:rPr>
            </w:pPr>
            <w:r>
              <w:rPr>
                <w:rFonts w:hint="eastAsia" w:asciiTheme="minorEastAsia" w:hAnsiTheme="minorEastAsia"/>
                <w:szCs w:val="21"/>
              </w:rPr>
              <w:t>5.对所有要求出具的证明文件进行核查，如不符合采购文件的技术需求及要求，以及提供虚假承诺的，按相关规定做退货处理及违约处理，中标人承担所有责任和费用，采购人保留进一步追究责任的权利。</w:t>
            </w:r>
          </w:p>
          <w:p w14:paraId="65A7011D">
            <w:pPr>
              <w:widowControl/>
              <w:adjustRightInd w:val="0"/>
              <w:snapToGrid w:val="0"/>
              <w:jc w:val="left"/>
              <w:rPr>
                <w:rFonts w:asciiTheme="minorEastAsia" w:hAnsiTheme="minorEastAsia"/>
                <w:szCs w:val="21"/>
              </w:rPr>
            </w:pPr>
            <w:r>
              <w:rPr>
                <w:rFonts w:hint="eastAsia" w:asciiTheme="minorEastAsia" w:hAnsiTheme="minorEastAsia"/>
                <w:szCs w:val="21"/>
              </w:rPr>
              <w:t>6.项目验收过程中，采购人视项目实际情况，认为须委托第三方机构组织或参与项目验收的，因此产生的全部相关费用由中标人另行承担。</w:t>
            </w:r>
          </w:p>
          <w:p w14:paraId="7A720A4F">
            <w:pPr>
              <w:widowControl/>
              <w:adjustRightInd w:val="0"/>
              <w:snapToGrid w:val="0"/>
              <w:jc w:val="left"/>
              <w:rPr>
                <w:rFonts w:asciiTheme="minorEastAsia" w:hAnsiTheme="minorEastAsia"/>
                <w:szCs w:val="21"/>
              </w:rPr>
            </w:pPr>
            <w:r>
              <w:rPr>
                <w:rFonts w:hint="eastAsia" w:asciiTheme="minorEastAsia" w:hAnsiTheme="minorEastAsia"/>
                <w:szCs w:val="21"/>
              </w:rPr>
              <w:t>7.在验收过程中发现中标人有违约问题，可暂缓资金结算，待违约问题解决后，方可办理资金结算事宜。</w:t>
            </w:r>
          </w:p>
        </w:tc>
      </w:tr>
      <w:tr w14:paraId="112E3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 w:type="pct"/>
          <w:trHeight w:val="567" w:hRule="atLeast"/>
          <w:jc w:val="center"/>
        </w:trPr>
        <w:tc>
          <w:tcPr>
            <w:tcW w:w="520" w:type="pct"/>
            <w:gridSpan w:val="2"/>
            <w:tcBorders>
              <w:top w:val="single" w:color="auto" w:sz="4" w:space="0"/>
              <w:left w:val="single" w:color="auto" w:sz="4" w:space="0"/>
              <w:bottom w:val="single" w:color="auto" w:sz="4" w:space="0"/>
              <w:right w:val="single" w:color="auto" w:sz="4" w:space="0"/>
            </w:tcBorders>
            <w:vAlign w:val="center"/>
          </w:tcPr>
          <w:p w14:paraId="622F3A32">
            <w:pPr>
              <w:adjustRightInd w:val="0"/>
              <w:snapToGrid w:val="0"/>
              <w:jc w:val="center"/>
              <w:rPr>
                <w:rFonts w:asciiTheme="minorEastAsia" w:hAnsiTheme="minorEastAsia"/>
                <w:szCs w:val="21"/>
              </w:rPr>
            </w:pPr>
            <w:r>
              <w:rPr>
                <w:rFonts w:hint="eastAsia" w:asciiTheme="minorEastAsia" w:hAnsiTheme="minorEastAsia"/>
                <w:szCs w:val="21"/>
              </w:rPr>
              <w:t>付款</w:t>
            </w:r>
          </w:p>
          <w:p w14:paraId="61AEAB87">
            <w:pPr>
              <w:adjustRightInd w:val="0"/>
              <w:snapToGrid w:val="0"/>
              <w:jc w:val="center"/>
              <w:rPr>
                <w:rFonts w:asciiTheme="minorEastAsia" w:hAnsiTheme="minorEastAsia"/>
                <w:szCs w:val="21"/>
              </w:rPr>
            </w:pPr>
            <w:r>
              <w:rPr>
                <w:rFonts w:hint="eastAsia" w:asciiTheme="minorEastAsia" w:hAnsiTheme="minorEastAsia"/>
                <w:szCs w:val="21"/>
              </w:rPr>
              <w:t>条件</w:t>
            </w:r>
          </w:p>
        </w:tc>
        <w:tc>
          <w:tcPr>
            <w:tcW w:w="4473" w:type="pct"/>
            <w:gridSpan w:val="4"/>
            <w:tcBorders>
              <w:top w:val="single" w:color="auto" w:sz="4" w:space="0"/>
              <w:left w:val="single" w:color="auto" w:sz="4" w:space="0"/>
              <w:bottom w:val="single" w:color="auto" w:sz="4" w:space="0"/>
              <w:right w:val="single" w:color="auto" w:sz="4" w:space="0"/>
            </w:tcBorders>
            <w:vAlign w:val="center"/>
          </w:tcPr>
          <w:p w14:paraId="6B39A37C">
            <w:pPr>
              <w:adjustRightInd w:val="0"/>
              <w:snapToGrid w:val="0"/>
              <w:rPr>
                <w:rFonts w:ascii="仿宋_GB2312" w:hAnsi="仿宋_GB2312" w:eastAsia="仿宋_GB2312" w:cs="仿宋_GB2312"/>
              </w:rPr>
            </w:pPr>
            <w:r>
              <w:rPr>
                <w:rFonts w:hint="eastAsia" w:asciiTheme="minorEastAsia" w:hAnsiTheme="minorEastAsia"/>
                <w:szCs w:val="21"/>
              </w:rPr>
              <w:t>项目验收合格后，</w:t>
            </w:r>
            <w:r>
              <w:rPr>
                <w:rFonts w:asciiTheme="minorEastAsia" w:hAnsiTheme="minorEastAsia"/>
                <w:szCs w:val="21"/>
              </w:rPr>
              <w:t>中标人提供全额的增值税专用发票，达到付款条件起14日内，采购人凭验收合格材料向中标人支付100%的合同款。</w:t>
            </w:r>
          </w:p>
        </w:tc>
      </w:tr>
      <w:tr w14:paraId="050371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 w:type="pct"/>
          <w:trHeight w:val="567" w:hRule="atLeast"/>
          <w:jc w:val="center"/>
        </w:trPr>
        <w:tc>
          <w:tcPr>
            <w:tcW w:w="520" w:type="pct"/>
            <w:gridSpan w:val="2"/>
            <w:tcBorders>
              <w:top w:val="single" w:color="auto" w:sz="4" w:space="0"/>
              <w:left w:val="single" w:color="auto" w:sz="4" w:space="0"/>
              <w:bottom w:val="single" w:color="auto" w:sz="4" w:space="0"/>
              <w:right w:val="single" w:color="auto" w:sz="4" w:space="0"/>
            </w:tcBorders>
            <w:vAlign w:val="center"/>
          </w:tcPr>
          <w:p w14:paraId="739ECEDF">
            <w:pPr>
              <w:adjustRightInd w:val="0"/>
              <w:snapToGrid w:val="0"/>
              <w:jc w:val="center"/>
              <w:rPr>
                <w:rFonts w:asciiTheme="minorEastAsia" w:hAnsiTheme="minorEastAsia"/>
                <w:kern w:val="0"/>
                <w:szCs w:val="21"/>
                <w:lang w:val="zh-CN"/>
              </w:rPr>
            </w:pPr>
            <w:r>
              <w:rPr>
                <w:rFonts w:hint="eastAsia" w:asciiTheme="minorEastAsia" w:hAnsiTheme="minorEastAsia"/>
                <w:kern w:val="0"/>
                <w:szCs w:val="21"/>
                <w:lang w:val="zh-CN"/>
              </w:rPr>
              <w:t>其他</w:t>
            </w:r>
          </w:p>
          <w:p w14:paraId="2E9DED05">
            <w:pPr>
              <w:adjustRightInd w:val="0"/>
              <w:snapToGrid w:val="0"/>
              <w:jc w:val="center"/>
              <w:rPr>
                <w:rFonts w:asciiTheme="minorEastAsia" w:hAnsiTheme="minorEastAsia"/>
                <w:kern w:val="0"/>
                <w:szCs w:val="21"/>
                <w:lang w:val="zh-CN"/>
              </w:rPr>
            </w:pPr>
            <w:r>
              <w:rPr>
                <w:rFonts w:hint="eastAsia" w:asciiTheme="minorEastAsia" w:hAnsiTheme="minorEastAsia"/>
                <w:kern w:val="0"/>
                <w:szCs w:val="21"/>
                <w:lang w:val="zh-CN"/>
              </w:rPr>
              <w:t>要求</w:t>
            </w:r>
          </w:p>
        </w:tc>
        <w:tc>
          <w:tcPr>
            <w:tcW w:w="4473" w:type="pct"/>
            <w:gridSpan w:val="4"/>
            <w:tcBorders>
              <w:top w:val="single" w:color="auto" w:sz="4" w:space="0"/>
              <w:left w:val="single" w:color="auto" w:sz="4" w:space="0"/>
              <w:bottom w:val="single" w:color="auto" w:sz="4" w:space="0"/>
              <w:right w:val="single" w:color="auto" w:sz="4" w:space="0"/>
            </w:tcBorders>
            <w:vAlign w:val="center"/>
          </w:tcPr>
          <w:p w14:paraId="6C82EB10">
            <w:pPr>
              <w:adjustRightInd w:val="0"/>
              <w:snapToGrid w:val="0"/>
              <w:jc w:val="left"/>
              <w:rPr>
                <w:rFonts w:asciiTheme="minorEastAsia" w:hAnsiTheme="minorEastAsia"/>
                <w:szCs w:val="21"/>
              </w:rPr>
            </w:pPr>
            <w:r>
              <w:rPr>
                <w:rFonts w:hint="eastAsia" w:asciiTheme="minorEastAsia" w:hAnsiTheme="minorEastAsia"/>
                <w:szCs w:val="21"/>
              </w:rPr>
              <w:t>1.</w:t>
            </w:r>
            <w:r>
              <w:rPr>
                <w:rFonts w:hint="eastAsia" w:asciiTheme="minorEastAsia" w:hAnsiTheme="minorEastAsia"/>
                <w:szCs w:val="21"/>
                <w:lang w:val="zh-CN"/>
              </w:rPr>
              <w:t>本项目货物不接受进口产品（即通过中国海关报关验放进入中国境内且产自关境外的产品）参与竞标。</w:t>
            </w:r>
          </w:p>
          <w:p w14:paraId="37C21B8F">
            <w:pPr>
              <w:adjustRightInd w:val="0"/>
              <w:snapToGrid w:val="0"/>
              <w:jc w:val="left"/>
              <w:rPr>
                <w:rFonts w:asciiTheme="minorEastAsia" w:hAnsiTheme="minorEastAsia"/>
                <w:szCs w:val="21"/>
                <w:lang w:val="zh-CN"/>
              </w:rPr>
            </w:pPr>
            <w:r>
              <w:rPr>
                <w:rFonts w:hint="eastAsia" w:asciiTheme="minorEastAsia" w:hAnsiTheme="minorEastAsia"/>
                <w:szCs w:val="21"/>
                <w:lang w:val="zh-CN"/>
              </w:rPr>
              <w:t>2.</w:t>
            </w:r>
            <w:r>
              <w:rPr>
                <w:rFonts w:hint="eastAsia" w:asciiTheme="minorEastAsia" w:hAnsiTheme="minorEastAsia"/>
                <w:szCs w:val="21"/>
              </w:rPr>
              <w:t>执行《财政部发展改革委生态环境部市场监管总局关于调整优化节能产品、环境标志产品政府采购执行机制的通知》（财库〔2019〕9号）、《关于印发节能产品政府采购品目清单的通知》（财库〔2019〕19号）及《关于印发环境标志产品政府采购品目清单的通知》（财库〔2019〕18号），属于政府优先采购产品类别的，竞标人按照《市场监管总局关于发布参与实施政府采购节能产品、环境标志产品认证机构名录的公告》（2019年第16号）要求提供依据国家确定的认证机构出具的、处于有效期之内的节能产品或环境标志产品认证证书复印件并加盖竞标人公章，否则不予认定。</w:t>
            </w:r>
          </w:p>
          <w:p w14:paraId="1E6C34E0">
            <w:pPr>
              <w:adjustRightInd w:val="0"/>
              <w:snapToGrid w:val="0"/>
              <w:jc w:val="left"/>
              <w:rPr>
                <w:rFonts w:asciiTheme="minorEastAsia" w:hAnsiTheme="minorEastAsia"/>
                <w:szCs w:val="21"/>
              </w:rPr>
            </w:pPr>
            <w:r>
              <w:rPr>
                <w:rFonts w:hint="eastAsia" w:asciiTheme="minorEastAsia" w:hAnsiTheme="minorEastAsia"/>
                <w:szCs w:val="21"/>
                <w:lang w:val="zh-CN"/>
              </w:rPr>
              <w:t>3.</w:t>
            </w:r>
            <w:r>
              <w:rPr>
                <w:rFonts w:hint="eastAsia" w:asciiTheme="minorEastAsia" w:hAnsiTheme="minorEastAsia"/>
                <w:szCs w:val="21"/>
              </w:rPr>
              <w:t>采购货物纳入强制性产品认证（3C认证）的，竞标人所投产品必须从其规定。</w:t>
            </w:r>
          </w:p>
        </w:tc>
      </w:tr>
    </w:tbl>
    <w:p w14:paraId="21275762">
      <w:pPr>
        <w:widowControl/>
        <w:adjustRightInd w:val="0"/>
        <w:snapToGrid w:val="0"/>
        <w:spacing w:line="360" w:lineRule="auto"/>
        <w:rPr>
          <w:rFonts w:ascii="仿宋_GB2312" w:hAnsi="方正小标宋简体" w:eastAsia="仿宋_GB2312" w:cs="方正小标宋简体"/>
          <w:b/>
          <w:kern w:val="0"/>
          <w:sz w:val="32"/>
          <w:szCs w:val="32"/>
        </w:rPr>
      </w:pPr>
    </w:p>
    <w:p w14:paraId="3EA2ED3D">
      <w:pPr>
        <w:widowControl/>
        <w:adjustRightInd w:val="0"/>
        <w:snapToGrid w:val="0"/>
        <w:spacing w:line="360" w:lineRule="auto"/>
        <w:rPr>
          <w:rFonts w:ascii="仿宋_GB2312" w:hAnsi="方正小标宋简体" w:eastAsia="仿宋_GB2312" w:cs="方正小标宋简体"/>
          <w:b/>
          <w:kern w:val="0"/>
          <w:sz w:val="32"/>
          <w:szCs w:val="32"/>
        </w:rPr>
      </w:pPr>
    </w:p>
    <w:p w14:paraId="047C42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22838078-4950-406F-BFD4-323236C28552}"/>
  </w:font>
  <w:font w:name="方正小标宋简体">
    <w:panose1 w:val="02000000000000000000"/>
    <w:charset w:val="86"/>
    <w:family w:val="auto"/>
    <w:pitch w:val="default"/>
    <w:sig w:usb0="00000001" w:usb1="08000000" w:usb2="00000000" w:usb3="00000000" w:csb0="00040000" w:csb1="00000000"/>
    <w:embedRegular r:id="rId2" w:fontKey="{515EBDB7-7142-44D5-B87D-9866CB7E2349}"/>
  </w:font>
  <w:font w:name="仿宋">
    <w:panose1 w:val="02010609060101010101"/>
    <w:charset w:val="86"/>
    <w:family w:val="modern"/>
    <w:pitch w:val="default"/>
    <w:sig w:usb0="800002BF" w:usb1="38CF7CFA" w:usb2="00000016" w:usb3="00000000" w:csb0="00040001" w:csb1="00000000"/>
    <w:embedRegular r:id="rId3" w:fontKey="{C89F68E8-FB09-4037-956D-B8369F7E60FE}"/>
  </w:font>
  <w:font w:name="Segoe UI">
    <w:panose1 w:val="020B0502040204020203"/>
    <w:charset w:val="00"/>
    <w:family w:val="swiss"/>
    <w:pitch w:val="default"/>
    <w:sig w:usb0="E10022FF" w:usb1="C000E47F" w:usb2="00000029" w:usb3="00000000" w:csb0="200001DF" w:csb1="20000000"/>
    <w:embedRegular r:id="rId4" w:fontKey="{AA4F774E-C0EA-46D7-8B17-D5B3F7973814}"/>
  </w:font>
  <w:font w:name="WPSEMBED7">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3160C0"/>
    <w:multiLevelType w:val="singleLevel"/>
    <w:tmpl w:val="C23160C0"/>
    <w:lvl w:ilvl="0" w:tentative="0">
      <w:start w:val="6"/>
      <w:numFmt w:val="decimal"/>
      <w:lvlText w:val="%1."/>
      <w:lvlJc w:val="left"/>
      <w:pPr>
        <w:tabs>
          <w:tab w:val="left" w:pos="312"/>
        </w:tabs>
      </w:pPr>
    </w:lvl>
  </w:abstractNum>
  <w:abstractNum w:abstractNumId="1">
    <w:nsid w:val="CC2E139B"/>
    <w:multiLevelType w:val="singleLevel"/>
    <w:tmpl w:val="CC2E139B"/>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E566F"/>
    <w:rsid w:val="1BEA1FDC"/>
    <w:rsid w:val="272C0B3D"/>
    <w:rsid w:val="2A6D6DB4"/>
    <w:rsid w:val="4414531D"/>
    <w:rsid w:val="5F006678"/>
    <w:rsid w:val="6FB619B9"/>
    <w:rsid w:val="6FDE5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qFormat/>
    <w:uiPriority w:val="22"/>
    <w:rPr>
      <w:b/>
      <w:bCs/>
    </w:rPr>
  </w:style>
  <w:style w:type="paragraph" w:customStyle="1" w:styleId="5">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4770</Words>
  <Characters>5738</Characters>
  <Lines>0</Lines>
  <Paragraphs>0</Paragraphs>
  <TotalTime>6</TotalTime>
  <ScaleCrop>false</ScaleCrop>
  <LinksUpToDate>false</LinksUpToDate>
  <CharactersWithSpaces>5860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2025-12-17T12:14:00Z</dcterms:created>
  <dc:creator>沈丹平</dc:creator>
  <cp:lastModifiedBy>沈丹平</cp:lastModifiedBy>
  <dcterms:modified xsi:type="dcterms:W3CDTF">2026-03-27T09:27:10Z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2154472095F14EB59952DC7B85A8DCB2_13</vt:lpwstr>
  </property>
  <property fmtid="{D5CDD505-2E9C-101B-9397-08002B2CF9AE}" pid="4" name="KSOTemplateDocerSaveRecord">
    <vt:lpwstr>eyJoZGlkIjoiNGZiN2E1N2ZhODE0MGQyMDM2NDQ0NmFjZjVjYTg0Y2EiLCJ1c2VySWQiOiIxNDQ0ODgzODg0In0=</vt:lpwstr>
  </property>
</Properties>
</file>