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福建船政交通职业学院2024年度科研工作主要任务分解表</w:t>
      </w:r>
    </w:p>
    <w:tbl>
      <w:tblPr>
        <w:tblStyle w:val="4"/>
        <w:tblW w:w="144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109"/>
        <w:gridCol w:w="1293"/>
        <w:gridCol w:w="1134"/>
        <w:gridCol w:w="992"/>
        <w:gridCol w:w="993"/>
        <w:gridCol w:w="849"/>
        <w:gridCol w:w="849"/>
        <w:gridCol w:w="849"/>
        <w:gridCol w:w="849"/>
        <w:gridCol w:w="1197"/>
        <w:gridCol w:w="1134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二级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纵向科研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横向科研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新增平台（团队）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知识产权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学生创新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创业训练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计划项目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科研训练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计划项目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省科技进步奖培育项目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市厅级及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以上项目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立项数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省级及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以上项目立项数（个）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合同额（万元）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到账额（万元）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新增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平台（个）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新增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团队（个）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专利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申报（个）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成果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转化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安全与环境学院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信息与智慧交通学院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汽车学院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通用航空产业学院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轨道交通学院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机械与智能制造学院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航海学院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通识教育学院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经营管理公司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职业教育研究院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船政文化研究中心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1535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</w:tbl>
    <w:p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注：平台（团队）任务为依据《福建船政交通职业学院科研平台和团队管理办法》（闽交院科〔2023〕5号）要求立项的校级及以上平台（团队）。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YWEzY2NmNmMyNmMxYzE4YWExMDYxYTcxZjcyYzQifQ=="/>
  </w:docVars>
  <w:rsids>
    <w:rsidRoot w:val="00433CC4"/>
    <w:rsid w:val="001B5327"/>
    <w:rsid w:val="00403BAE"/>
    <w:rsid w:val="00433CC4"/>
    <w:rsid w:val="00560AEF"/>
    <w:rsid w:val="007F0427"/>
    <w:rsid w:val="0080632F"/>
    <w:rsid w:val="00936373"/>
    <w:rsid w:val="009C04DB"/>
    <w:rsid w:val="00A34FCE"/>
    <w:rsid w:val="00C16440"/>
    <w:rsid w:val="00CD3C6F"/>
    <w:rsid w:val="00E742CE"/>
    <w:rsid w:val="00F317AC"/>
    <w:rsid w:val="612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412</Characters>
  <Lines>16</Lines>
  <Paragraphs>8</Paragraphs>
  <TotalTime>60</TotalTime>
  <ScaleCrop>false</ScaleCrop>
  <LinksUpToDate>false</LinksUpToDate>
  <CharactersWithSpaces>807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2024-04-02T05:39:00Z</dcterms:created>
  <dc:creator>pc</dc:creator>
  <cp:lastModifiedBy>WPS_1178000192</cp:lastModifiedBy>
  <dcterms:modified xsi:type="dcterms:W3CDTF">2024-04-28T08:40:44Z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EDAFBE9645A546679A9EA3C31DBC8469_12</vt:lpwstr>
  </property>
</Properties>
</file>