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0" w:beforeAutospacing="0" w:after="180" w:afterAutospacing="0"/>
        <w:contextualSpacing/>
        <w:rPr>
          <w:rFonts w:hint="eastAsia" w:ascii="仿宋" w:hAnsi="仿宋" w:eastAsia="仿宋" w:cs="仿宋_GB2312"/>
          <w:color w:val="323232"/>
          <w:sz w:val="32"/>
          <w:szCs w:val="32"/>
        </w:rPr>
      </w:pPr>
      <w:r>
        <w:rPr>
          <w:rFonts w:hint="eastAsia" w:ascii="仿宋" w:hAnsi="仿宋" w:eastAsia="仿宋" w:cs="仿宋_GB2312"/>
          <w:color w:val="323232"/>
          <w:sz w:val="32"/>
          <w:szCs w:val="32"/>
        </w:rPr>
        <w:t>附表</w:t>
      </w:r>
    </w:p>
    <w:p>
      <w:pPr>
        <w:pStyle w:val="2"/>
        <w:spacing w:before="180" w:beforeAutospacing="0" w:after="180" w:afterAutospacing="0"/>
        <w:contextualSpacing/>
        <w:jc w:val="center"/>
        <w:rPr>
          <w:rFonts w:hint="eastAsia" w:cs="仿宋_GB2312"/>
          <w:b/>
          <w:color w:val="323232"/>
          <w:sz w:val="36"/>
          <w:szCs w:val="36"/>
        </w:rPr>
      </w:pPr>
      <w:bookmarkStart w:id="0" w:name="_GoBack"/>
      <w:r>
        <w:rPr>
          <w:rFonts w:hint="eastAsia" w:cs="仿宋_GB2312"/>
          <w:b/>
          <w:color w:val="323232"/>
          <w:sz w:val="36"/>
          <w:szCs w:val="36"/>
        </w:rPr>
        <w:t>各类固定资产折旧年限表</w:t>
      </w:r>
    </w:p>
    <w:bookmarkEnd w:id="0"/>
    <w:p>
      <w:pPr>
        <w:pStyle w:val="2"/>
        <w:spacing w:before="180" w:beforeAutospacing="0" w:after="180" w:afterAutospacing="0"/>
        <w:contextualSpacing/>
        <w:jc w:val="center"/>
        <w:rPr>
          <w:rFonts w:hint="eastAsia" w:cs="仿宋_GB2312"/>
          <w:color w:val="32323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136"/>
        <w:gridCol w:w="1783"/>
        <w:gridCol w:w="237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固定资产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财政折旧年限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（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折旧年限（年）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房屋及构筑物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业务及</w:t>
            </w:r>
          </w:p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管理用房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钢结构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钢筋混凝土结构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砖混结构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砖木结构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简易房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房屋附属设施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构筑物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通用设备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计算机设备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办公设备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车辆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图书档案设备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机械设备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电气设备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雷达、无线电和卫星导航设备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通信设备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广播、电视、电影设备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仪器仪表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电子和通信测量设备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计量标准器具及量具、衡器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专用设备</w:t>
            </w: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工程机械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食品加工专用设备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饮料加工设备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造纸和印刷机械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化学药品和中药专用设备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医疗设备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电工、电子专用生产设备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安全生产设备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邮政专用设备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环境污染防治设备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公安专用设备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水工机械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铁路运输设备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水上交通运输设备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航空器及其配套设备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专用仪器仪表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文艺设备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体育设备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娱乐设备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</w:rPr>
              <w:t>-</w:t>
            </w:r>
            <w:r>
              <w:rPr>
                <w:rFonts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家具、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用具及装具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家具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用具、装具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不低于5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spacing w:line="400" w:lineRule="atLeast"/>
              <w:contextualSpacing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012A5461"/>
    <w:rsid w:val="012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2023-06-02T09:06:00Z</dcterms:created>
  <dc:creator>YOYO</dc:creator>
  <cp:lastModifiedBy>YOYO</cp:lastModifiedBy>
  <dcterms:modified xsi:type="dcterms:W3CDTF">2023-06-02T09:07:00Z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A7BEB6A79534434B8FE14B5637723646_11</vt:lpwstr>
  </property>
</Properties>
</file>