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60" w:line="304" w:lineRule="auto"/>
        <w:ind w:left="3980" w:right="310" w:hanging="3780"/>
        <w:rPr>
          <w:lang w:eastAsia="zh-CN"/>
        </w:rPr>
      </w:pPr>
      <w:r>
        <w:rPr>
          <w:lang w:eastAsia="zh-CN"/>
        </w:rPr>
        <w:t>福建船政交通职业学院学分制学籍管理实施细则（修订）</w:t>
      </w:r>
    </w:p>
    <w:p>
      <w:pPr>
        <w:pStyle w:val="2"/>
        <w:spacing w:before="8" w:line="297" w:lineRule="auto"/>
        <w:ind w:left="141" w:right="170" w:firstLine="639"/>
        <w:rPr>
          <w:lang w:eastAsia="zh-CN"/>
        </w:rPr>
      </w:pPr>
      <w:r>
        <w:rPr>
          <w:spacing w:val="3"/>
          <w:lang w:eastAsia="zh-CN"/>
        </w:rPr>
        <w:t>为了适应高等职业教育的发展，促进教育改革，保证学</w:t>
      </w:r>
      <w:r>
        <w:rPr>
          <w:lang w:eastAsia="zh-CN"/>
        </w:rPr>
        <w:t xml:space="preserve">院正常教学秩序，提高教学质量，培养拥护党的基本路线， </w:t>
      </w:r>
      <w:r>
        <w:rPr>
          <w:spacing w:val="-8"/>
          <w:lang w:eastAsia="zh-CN"/>
        </w:rPr>
        <w:t>适应社会主义现代化生产、建设 、管理、服务第一线需要的</w:t>
      </w:r>
      <w:r>
        <w:rPr>
          <w:spacing w:val="-10"/>
          <w:lang w:eastAsia="zh-CN"/>
        </w:rPr>
        <w:t>德、智、体、美等方面全面发展的高素质技术技能专门人才。</w:t>
      </w:r>
      <w:r>
        <w:rPr>
          <w:spacing w:val="-9"/>
          <w:lang w:eastAsia="zh-CN"/>
        </w:rPr>
        <w:t>根据教育部《普通高等学校学生管理规定》和《关于全面提</w:t>
      </w:r>
      <w:r>
        <w:rPr>
          <w:spacing w:val="-11"/>
          <w:lang w:eastAsia="zh-CN"/>
        </w:rPr>
        <w:t>高高等职业教育教学质量的若干意见》</w:t>
      </w:r>
      <w:r>
        <w:rPr>
          <w:spacing w:val="-1"/>
          <w:lang w:eastAsia="zh-CN"/>
        </w:rPr>
        <w:t>（教育部教高〔2006〕</w:t>
      </w:r>
    </w:p>
    <w:p>
      <w:pPr>
        <w:pStyle w:val="2"/>
        <w:spacing w:before="24" w:line="297" w:lineRule="auto"/>
        <w:ind w:left="141" w:right="169"/>
        <w:rPr>
          <w:lang w:eastAsia="zh-CN"/>
        </w:rPr>
      </w:pPr>
      <w:r>
        <w:rPr>
          <w:lang w:eastAsia="zh-CN"/>
        </w:rPr>
        <w:t>16 号）文精神，结合我院教育教学改革的实际，制定本实施细则。</w:t>
      </w:r>
    </w:p>
    <w:p>
      <w:pPr>
        <w:pStyle w:val="2"/>
        <w:spacing w:before="23"/>
        <w:ind w:left="781"/>
        <w:rPr>
          <w:lang w:eastAsia="zh-CN"/>
        </w:rPr>
      </w:pPr>
      <w:r>
        <w:rPr>
          <w:lang w:eastAsia="zh-CN"/>
        </w:rPr>
        <w:t>一、学生的权利与义务</w:t>
      </w:r>
    </w:p>
    <w:p>
      <w:pPr>
        <w:pStyle w:val="2"/>
        <w:tabs>
          <w:tab w:val="left" w:pos="2059"/>
        </w:tabs>
        <w:spacing w:before="101"/>
        <w:ind w:left="781"/>
        <w:rPr>
          <w:lang w:eastAsia="zh-CN"/>
        </w:rPr>
      </w:pPr>
      <w:r>
        <w:rPr>
          <w:lang w:eastAsia="zh-CN"/>
        </w:rPr>
        <w:t>第一条</w:t>
      </w:r>
      <w:r>
        <w:rPr>
          <w:lang w:eastAsia="zh-CN"/>
        </w:rPr>
        <w:tab/>
      </w:r>
      <w:r>
        <w:rPr>
          <w:spacing w:val="-1"/>
          <w:lang w:eastAsia="zh-CN"/>
        </w:rPr>
        <w:t>学生在校期间依法享有下列权利：</w:t>
      </w:r>
    </w:p>
    <w:p>
      <w:pPr>
        <w:pStyle w:val="2"/>
        <w:spacing w:before="100" w:line="297" w:lineRule="auto"/>
        <w:ind w:left="141" w:right="170" w:firstLine="639"/>
        <w:rPr>
          <w:lang w:eastAsia="zh-CN"/>
        </w:rPr>
      </w:pPr>
      <w:r>
        <w:rPr>
          <w:lang w:eastAsia="zh-CN"/>
        </w:rPr>
        <w:t>（一）参加学校教育教学计划安排的各项活动，使用学校提供的教育教学资源；</w:t>
      </w:r>
    </w:p>
    <w:p>
      <w:pPr>
        <w:pStyle w:val="2"/>
        <w:spacing w:before="25" w:line="297" w:lineRule="auto"/>
        <w:ind w:left="141" w:right="170" w:firstLine="639"/>
        <w:rPr>
          <w:lang w:eastAsia="zh-CN"/>
        </w:rPr>
      </w:pPr>
      <w:r>
        <w:rPr>
          <w:lang w:eastAsia="zh-CN"/>
        </w:rPr>
        <w:t>（二）参加社会服务、勤工助学，在校内组织、参加学生团体及文娱体育等活动；</w:t>
      </w:r>
    </w:p>
    <w:p>
      <w:pPr>
        <w:pStyle w:val="2"/>
        <w:spacing w:before="24"/>
        <w:ind w:left="781"/>
        <w:rPr>
          <w:lang w:eastAsia="zh-CN"/>
        </w:rPr>
      </w:pPr>
      <w:r>
        <w:rPr>
          <w:lang w:eastAsia="zh-CN"/>
        </w:rPr>
        <w:t>（三）申请奖学金、助学金及助学贷款；</w:t>
      </w:r>
    </w:p>
    <w:p>
      <w:pPr>
        <w:pStyle w:val="2"/>
        <w:spacing w:before="102" w:line="297" w:lineRule="auto"/>
        <w:ind w:left="141" w:right="170" w:firstLine="639"/>
        <w:rPr>
          <w:lang w:eastAsia="zh-CN"/>
        </w:rPr>
      </w:pPr>
      <w:r>
        <w:rPr>
          <w:lang w:eastAsia="zh-CN"/>
        </w:rPr>
        <w:t>（四）在思想品德、学业成绩等方面获得公正评价，完成学校规定学业后获得相应的学历证书；</w:t>
      </w:r>
    </w:p>
    <w:p>
      <w:pPr>
        <w:pStyle w:val="2"/>
        <w:spacing w:before="24" w:line="297" w:lineRule="auto"/>
        <w:ind w:left="141" w:right="170" w:firstLine="639"/>
        <w:rPr>
          <w:lang w:eastAsia="zh-CN"/>
        </w:rPr>
      </w:pPr>
      <w:r>
        <w:rPr>
          <w:lang w:eastAsia="zh-CN"/>
        </w:rPr>
        <w:t>（五 ）参与学校民主管理，对学校发展和教育、教学改革提出意见和建议；</w:t>
      </w:r>
    </w:p>
    <w:p>
      <w:pPr>
        <w:pStyle w:val="2"/>
        <w:spacing w:before="24" w:line="297" w:lineRule="auto"/>
        <w:ind w:left="141" w:right="253" w:firstLine="639"/>
        <w:jc w:val="both"/>
        <w:rPr>
          <w:lang w:eastAsia="zh-CN"/>
        </w:rPr>
      </w:pPr>
      <w:r>
        <w:rPr>
          <w:lang w:eastAsia="zh-CN"/>
        </w:rPr>
        <w:t>（六）对学校给予的处分或者处理有异议，向学校、教育行政部门提出申诉；对学校、教职员工侵犯其人身权、财产权等合法权益，提出申诉或者依法提起诉讼；</w:t>
      </w:r>
    </w:p>
    <w:p>
      <w:pPr>
        <w:pStyle w:val="2"/>
        <w:spacing w:before="24"/>
        <w:ind w:left="781"/>
        <w:rPr>
          <w:lang w:eastAsia="zh-CN"/>
        </w:rPr>
      </w:pPr>
      <w:r>
        <w:rPr>
          <w:lang w:eastAsia="zh-CN"/>
        </w:rPr>
        <w:t>（七）法律、法规规定的其他权利。</w:t>
      </w:r>
    </w:p>
    <w:p>
      <w:pPr>
        <w:pStyle w:val="2"/>
        <w:tabs>
          <w:tab w:val="left" w:pos="2059"/>
        </w:tabs>
        <w:spacing w:before="100"/>
        <w:ind w:left="781"/>
        <w:rPr>
          <w:lang w:eastAsia="zh-CN"/>
        </w:rPr>
      </w:pPr>
      <w:r>
        <w:rPr>
          <w:lang w:eastAsia="zh-CN"/>
        </w:rPr>
        <w:t>第二条</w:t>
      </w:r>
      <w:r>
        <w:rPr>
          <w:lang w:eastAsia="zh-CN"/>
        </w:rPr>
        <w:tab/>
      </w:r>
      <w:r>
        <w:rPr>
          <w:spacing w:val="-1"/>
          <w:lang w:eastAsia="zh-CN"/>
        </w:rPr>
        <w:t>学生在校期间依法履行下列义务：</w:t>
      </w:r>
    </w:p>
    <w:p>
      <w:pPr>
        <w:rPr>
          <w:lang w:eastAsia="zh-CN"/>
        </w:rPr>
        <w:sectPr>
          <w:pgSz w:w="11910" w:h="16840"/>
          <w:pgMar w:top="1080" w:right="1540" w:bottom="1400" w:left="1560" w:header="893" w:footer="1145" w:gutter="0"/>
          <w:cols w:space="720" w:num="1"/>
        </w:sectPr>
      </w:pPr>
    </w:p>
    <w:p>
      <w:pPr>
        <w:pStyle w:val="2"/>
        <w:rPr>
          <w:sz w:val="20"/>
          <w:lang w:eastAsia="zh-CN"/>
        </w:rPr>
      </w:pPr>
    </w:p>
    <w:p>
      <w:pPr>
        <w:pStyle w:val="2"/>
        <w:rPr>
          <w:sz w:val="20"/>
          <w:lang w:eastAsia="zh-CN"/>
        </w:rPr>
      </w:pPr>
    </w:p>
    <w:p>
      <w:pPr>
        <w:pStyle w:val="2"/>
        <w:spacing w:before="137"/>
        <w:ind w:left="781"/>
        <w:rPr>
          <w:lang w:eastAsia="zh-CN"/>
        </w:rPr>
      </w:pPr>
      <w:r>
        <w:rPr>
          <w:lang w:eastAsia="zh-CN"/>
        </w:rPr>
        <w:t>（一）遵守宪法、法律、法规；</w:t>
      </w:r>
    </w:p>
    <w:p>
      <w:pPr>
        <w:pStyle w:val="2"/>
        <w:spacing w:before="100"/>
        <w:ind w:left="781"/>
        <w:rPr>
          <w:lang w:eastAsia="zh-CN"/>
        </w:rPr>
      </w:pPr>
      <w:r>
        <w:rPr>
          <w:lang w:eastAsia="zh-CN"/>
        </w:rPr>
        <w:t>（二）遵守学校管理制度及相关规定；</w:t>
      </w:r>
    </w:p>
    <w:p>
      <w:pPr>
        <w:pStyle w:val="2"/>
        <w:spacing w:before="100" w:line="297" w:lineRule="auto"/>
        <w:ind w:left="141" w:right="273" w:firstLine="639"/>
        <w:jc w:val="both"/>
        <w:rPr>
          <w:lang w:eastAsia="zh-CN"/>
        </w:rPr>
      </w:pPr>
      <w:r>
        <w:rPr>
          <w:lang w:eastAsia="zh-CN"/>
        </w:rPr>
        <w:t>（三）恪守学术道德，坚持学术诚信，努力学习，完成规定学业；</w:t>
      </w:r>
    </w:p>
    <w:p>
      <w:pPr>
        <w:pStyle w:val="2"/>
        <w:spacing w:before="24" w:line="297" w:lineRule="auto"/>
        <w:ind w:left="141" w:right="273" w:firstLine="639"/>
        <w:jc w:val="both"/>
        <w:rPr>
          <w:lang w:eastAsia="zh-CN"/>
        </w:rPr>
      </w:pPr>
      <w:r>
        <w:rPr>
          <w:lang w:eastAsia="zh-CN"/>
        </w:rPr>
        <w:t>（四）按规定缴纳学费及有关费用，履行获得贷学金及助学金的相应义务；</w:t>
      </w:r>
    </w:p>
    <w:p>
      <w:pPr>
        <w:pStyle w:val="2"/>
        <w:spacing w:before="25" w:line="297" w:lineRule="auto"/>
        <w:ind w:left="141" w:right="273" w:firstLine="639"/>
        <w:jc w:val="both"/>
        <w:rPr>
          <w:lang w:eastAsia="zh-CN"/>
        </w:rPr>
      </w:pPr>
      <w:r>
        <w:rPr>
          <w:lang w:eastAsia="zh-CN"/>
        </w:rPr>
        <w:t>（五）遵守学生行为规范，尊敬师长，养成良好的思想品德和行为习惯；</w:t>
      </w:r>
    </w:p>
    <w:p>
      <w:pPr>
        <w:pStyle w:val="2"/>
        <w:spacing w:before="23" w:line="297" w:lineRule="auto"/>
        <w:ind w:left="781" w:right="2909"/>
        <w:rPr>
          <w:lang w:eastAsia="zh-CN"/>
        </w:rPr>
      </w:pPr>
      <w:r>
        <w:rPr>
          <w:lang w:eastAsia="zh-CN"/>
        </w:rPr>
        <w:t>（六）法律、法规规定的其他义务。二、入学与注册</w:t>
      </w:r>
    </w:p>
    <w:p>
      <w:pPr>
        <w:pStyle w:val="2"/>
        <w:spacing w:before="23" w:line="297" w:lineRule="auto"/>
        <w:ind w:left="141" w:right="277" w:firstLine="639"/>
        <w:jc w:val="both"/>
        <w:rPr>
          <w:lang w:eastAsia="zh-CN"/>
        </w:rPr>
      </w:pPr>
      <w:r>
        <w:rPr>
          <w:lang w:eastAsia="zh-CN"/>
        </w:rPr>
        <w:t>第三条 按照国家招生规定录取的新生，应持录取通知书和学院规定的有关证件，按期到校办理入学手续。因故不能按期入学者，应通过书面方式并附相应证明，向被录取的系（部）请假，假期一般不得超过两周。未经请假或请假逾期者，除不可抗力等正当事由外，视为放弃入学资格。</w:t>
      </w:r>
    </w:p>
    <w:p>
      <w:pPr>
        <w:pStyle w:val="2"/>
        <w:tabs>
          <w:tab w:val="left" w:pos="2059"/>
        </w:tabs>
        <w:spacing w:before="25" w:line="297" w:lineRule="auto"/>
        <w:ind w:left="141" w:right="117" w:firstLine="639"/>
        <w:rPr>
          <w:lang w:eastAsia="zh-CN"/>
        </w:rPr>
      </w:pPr>
      <w:r>
        <w:rPr>
          <w:lang w:eastAsia="zh-CN"/>
        </w:rPr>
        <w:t>第四条</w:t>
      </w:r>
      <w:r>
        <w:rPr>
          <w:lang w:eastAsia="zh-CN"/>
        </w:rPr>
        <w:tab/>
      </w:r>
      <w:r>
        <w:rPr>
          <w:spacing w:val="-1"/>
          <w:lang w:eastAsia="zh-CN"/>
        </w:rPr>
        <w:t xml:space="preserve">新生入学后，学院在三个月内按照国家招生规 </w:t>
      </w:r>
      <w:r>
        <w:rPr>
          <w:lang w:eastAsia="zh-CN"/>
        </w:rPr>
        <w:t>定进行复查。复查合格者予以注册，取得学籍。经复查不符合招生条件者，由学院区别情况，予以处理，直至取消入学</w:t>
      </w:r>
      <w:r>
        <w:rPr>
          <w:spacing w:val="-1"/>
          <w:lang w:eastAsia="zh-CN"/>
        </w:rPr>
        <w:t>资格</w:t>
      </w:r>
      <w:r>
        <w:rPr>
          <w:spacing w:val="-28"/>
          <w:lang w:eastAsia="zh-CN"/>
        </w:rPr>
        <w:t>。</w:t>
      </w:r>
      <w:r>
        <w:rPr>
          <w:spacing w:val="-1"/>
          <w:lang w:eastAsia="zh-CN"/>
        </w:rPr>
        <w:t>凡属弄虚</w:t>
      </w:r>
      <w:r>
        <w:rPr>
          <w:lang w:eastAsia="zh-CN"/>
        </w:rPr>
        <w:t>作假</w:t>
      </w:r>
      <w:r>
        <w:rPr>
          <w:spacing w:val="-27"/>
          <w:lang w:eastAsia="zh-CN"/>
        </w:rPr>
        <w:t>、</w:t>
      </w:r>
      <w:r>
        <w:rPr>
          <w:lang w:eastAsia="zh-CN"/>
        </w:rPr>
        <w:t>徇私舞弊取得学籍者</w:t>
      </w:r>
      <w:r>
        <w:rPr>
          <w:spacing w:val="-27"/>
          <w:lang w:eastAsia="zh-CN"/>
        </w:rPr>
        <w:t>，</w:t>
      </w:r>
      <w:r>
        <w:rPr>
          <w:lang w:eastAsia="zh-CN"/>
        </w:rPr>
        <w:t>无论何时发现， 一经查实，取消学籍，予以退回，情节恶劣的，报请有关部</w:t>
      </w:r>
      <w:r>
        <w:rPr>
          <w:spacing w:val="-1"/>
          <w:lang w:eastAsia="zh-CN"/>
        </w:rPr>
        <w:t>门查究。</w:t>
      </w:r>
    </w:p>
    <w:p>
      <w:pPr>
        <w:pStyle w:val="2"/>
        <w:spacing w:before="25" w:line="297" w:lineRule="auto"/>
        <w:ind w:left="141" w:right="277" w:firstLine="639"/>
        <w:jc w:val="both"/>
        <w:rPr>
          <w:lang w:eastAsia="zh-CN"/>
        </w:rPr>
      </w:pPr>
      <w:r>
        <w:rPr>
          <w:lang w:eastAsia="zh-CN"/>
        </w:rPr>
        <w:t>第五条 新生因病、创业、入伍等原因可以申请保留入学资格。保留入学资格者不具有学籍。保留入学资格期满学生可向学校申请入学，经学校审查合格后办理入学手续。审查不合格或者逾期不办理入学手续者，取消入学资格。</w:t>
      </w:r>
    </w:p>
    <w:p>
      <w:pPr>
        <w:pStyle w:val="2"/>
        <w:spacing w:before="23"/>
        <w:ind w:left="781"/>
        <w:rPr>
          <w:lang w:eastAsia="zh-CN"/>
        </w:rPr>
      </w:pPr>
      <w:r>
        <w:rPr>
          <w:lang w:eastAsia="zh-CN"/>
        </w:rPr>
        <w:t>第六条 学生应征参加中国人民解放军（含中国人民武装</w:t>
      </w:r>
    </w:p>
    <w:p>
      <w:pPr>
        <w:rPr>
          <w:lang w:eastAsia="zh-CN"/>
        </w:rPr>
        <w:sectPr>
          <w:pgSz w:w="11910" w:h="16840"/>
          <w:pgMar w:top="1080" w:right="1520" w:bottom="1400" w:left="1560" w:header="893" w:footer="1145" w:gutter="0"/>
          <w:cols w:space="720" w:num="1"/>
        </w:sectPr>
      </w:pPr>
    </w:p>
    <w:p>
      <w:pPr>
        <w:pStyle w:val="2"/>
        <w:rPr>
          <w:sz w:val="20"/>
          <w:lang w:eastAsia="zh-CN"/>
        </w:rPr>
      </w:pPr>
    </w:p>
    <w:p>
      <w:pPr>
        <w:pStyle w:val="2"/>
        <w:rPr>
          <w:sz w:val="20"/>
          <w:lang w:eastAsia="zh-CN"/>
        </w:rPr>
      </w:pPr>
    </w:p>
    <w:p>
      <w:pPr>
        <w:pStyle w:val="2"/>
        <w:spacing w:before="137" w:line="297" w:lineRule="auto"/>
        <w:ind w:left="141" w:right="170"/>
        <w:rPr>
          <w:lang w:eastAsia="zh-CN"/>
        </w:rPr>
      </w:pPr>
      <w:r>
        <w:rPr>
          <w:spacing w:val="-1"/>
          <w:lang w:eastAsia="zh-CN"/>
        </w:rPr>
        <w:t>警察部队</w:t>
      </w:r>
      <w:r>
        <w:rPr>
          <w:spacing w:val="-121"/>
          <w:lang w:eastAsia="zh-CN"/>
        </w:rPr>
        <w:t>）</w:t>
      </w:r>
      <w:r>
        <w:rPr>
          <w:spacing w:val="-12"/>
          <w:lang w:eastAsia="zh-CN"/>
        </w:rPr>
        <w:t>，学校应当保留入学资格或保留其学籍至退役后二</w:t>
      </w:r>
      <w:r>
        <w:rPr>
          <w:spacing w:val="-1"/>
          <w:lang w:eastAsia="zh-CN"/>
        </w:rPr>
        <w:t>年。</w:t>
      </w:r>
    </w:p>
    <w:p>
      <w:pPr>
        <w:pStyle w:val="2"/>
        <w:tabs>
          <w:tab w:val="left" w:pos="2077"/>
        </w:tabs>
        <w:spacing w:before="24" w:line="297" w:lineRule="auto"/>
        <w:ind w:left="141" w:right="99" w:firstLine="639"/>
        <w:rPr>
          <w:lang w:eastAsia="zh-CN"/>
        </w:rPr>
      </w:pPr>
      <w:r>
        <w:rPr>
          <w:lang w:eastAsia="zh-CN"/>
        </w:rPr>
        <w:t>第七条</w:t>
      </w:r>
      <w:r>
        <w:rPr>
          <w:lang w:eastAsia="zh-CN"/>
        </w:rPr>
        <w:tab/>
      </w:r>
      <w:r>
        <w:rPr>
          <w:lang w:eastAsia="zh-CN"/>
        </w:rPr>
        <w:t>学生应于学期开学时，按规定日期到校报</w:t>
      </w:r>
      <w:r>
        <w:rPr>
          <w:spacing w:val="4"/>
          <w:lang w:eastAsia="zh-CN"/>
        </w:rPr>
        <w:t>到</w:t>
      </w:r>
      <w:r>
        <w:rPr>
          <w:lang w:eastAsia="zh-CN"/>
        </w:rPr>
        <w:t xml:space="preserve">。 </w:t>
      </w:r>
      <w:r>
        <w:rPr>
          <w:spacing w:val="-1"/>
          <w:lang w:eastAsia="zh-CN"/>
        </w:rPr>
        <w:t>并持学生证向所在</w:t>
      </w:r>
      <w:r>
        <w:rPr>
          <w:spacing w:val="-134"/>
          <w:lang w:eastAsia="zh-CN"/>
        </w:rPr>
        <w:t>系</w:t>
      </w:r>
      <w:r>
        <w:rPr>
          <w:lang w:eastAsia="zh-CN"/>
        </w:rPr>
        <w:t>（部</w:t>
      </w:r>
      <w:r>
        <w:rPr>
          <w:spacing w:val="-134"/>
          <w:lang w:eastAsia="zh-CN"/>
        </w:rPr>
        <w:t>）</w:t>
      </w:r>
      <w:r>
        <w:rPr>
          <w:lang w:eastAsia="zh-CN"/>
        </w:rPr>
        <w:t>办公室办理新学期注册手续</w:t>
      </w:r>
      <w:r>
        <w:rPr>
          <w:spacing w:val="-134"/>
          <w:lang w:eastAsia="zh-CN"/>
        </w:rPr>
        <w:t>，</w:t>
      </w:r>
      <w:r>
        <w:rPr>
          <w:lang w:eastAsia="zh-CN"/>
        </w:rPr>
        <w:t>系(部) 办公室负责依据学院财务部</w:t>
      </w:r>
      <w:r>
        <w:rPr>
          <w:spacing w:val="4"/>
          <w:lang w:eastAsia="zh-CN"/>
        </w:rPr>
        <w:t>门</w:t>
      </w:r>
      <w:r>
        <w:rPr>
          <w:lang w:eastAsia="zh-CN"/>
        </w:rPr>
        <w:t>提供的学生已缴费信息按规定办理学生的注册工作，并及</w:t>
      </w:r>
      <w:r>
        <w:rPr>
          <w:spacing w:val="4"/>
          <w:lang w:eastAsia="zh-CN"/>
        </w:rPr>
        <w:t>时</w:t>
      </w:r>
      <w:r>
        <w:rPr>
          <w:lang w:eastAsia="zh-CN"/>
        </w:rPr>
        <w:t>将学生报到和注册的情况报教</w:t>
      </w:r>
      <w:r>
        <w:rPr>
          <w:spacing w:val="-1"/>
          <w:lang w:eastAsia="zh-CN"/>
        </w:rPr>
        <w:t>务处备案。</w:t>
      </w:r>
    </w:p>
    <w:p>
      <w:pPr>
        <w:pStyle w:val="2"/>
        <w:spacing w:before="24" w:line="297" w:lineRule="auto"/>
        <w:ind w:left="141" w:right="253" w:firstLine="639"/>
        <w:jc w:val="both"/>
        <w:rPr>
          <w:lang w:eastAsia="zh-CN"/>
        </w:rPr>
      </w:pPr>
      <w:r>
        <w:rPr>
          <w:spacing w:val="3"/>
          <w:lang w:eastAsia="zh-CN"/>
        </w:rPr>
        <w:t>学生经注册后方取得新学期的学习资格。学生因故不能</w:t>
      </w:r>
      <w:r>
        <w:rPr>
          <w:spacing w:val="-9"/>
          <w:lang w:eastAsia="zh-CN"/>
        </w:rPr>
        <w:t>如期报到和注册者，必须事先办理请假(病假必须凭二级甲等</w:t>
      </w:r>
      <w:r>
        <w:rPr>
          <w:spacing w:val="-6"/>
          <w:lang w:eastAsia="zh-CN"/>
        </w:rPr>
        <w:t>以上医院证明)和履行暂缓注册手续。未按学院规定缴纳学费</w:t>
      </w:r>
      <w:r>
        <w:rPr>
          <w:spacing w:val="-1"/>
          <w:lang w:eastAsia="zh-CN"/>
        </w:rPr>
        <w:t>或者其它不符合注册条件的不予注册。</w:t>
      </w:r>
    </w:p>
    <w:p>
      <w:pPr>
        <w:pStyle w:val="2"/>
        <w:spacing w:before="24" w:line="297" w:lineRule="auto"/>
        <w:ind w:left="141" w:right="253" w:firstLine="639"/>
        <w:jc w:val="both"/>
        <w:rPr>
          <w:lang w:eastAsia="zh-CN"/>
        </w:rPr>
      </w:pPr>
      <w:r>
        <w:rPr>
          <w:lang w:eastAsia="zh-CN"/>
        </w:rPr>
        <w:t>家庭经济困难的学生可以申请贷款或者其它形式资助， 办理有关手续后注册。</w:t>
      </w:r>
    </w:p>
    <w:p>
      <w:pPr>
        <w:pStyle w:val="2"/>
        <w:spacing w:before="24" w:line="297" w:lineRule="auto"/>
        <w:ind w:left="141" w:right="253" w:firstLine="639"/>
        <w:jc w:val="both"/>
        <w:rPr>
          <w:lang w:eastAsia="zh-CN"/>
        </w:rPr>
      </w:pPr>
      <w:r>
        <w:rPr>
          <w:lang w:eastAsia="zh-CN"/>
        </w:rPr>
        <w:t>未经请假或请假未准，或请假逾期，或到校不办理注册手续者，一律按旷课论处。未经请假且逾期两周不注册者， 按自动退学处理。</w:t>
      </w:r>
    </w:p>
    <w:p>
      <w:pPr>
        <w:pStyle w:val="2"/>
        <w:spacing w:before="24"/>
        <w:ind w:left="781"/>
        <w:rPr>
          <w:lang w:eastAsia="zh-CN"/>
        </w:rPr>
      </w:pPr>
      <w:r>
        <w:rPr>
          <w:lang w:eastAsia="zh-CN"/>
        </w:rPr>
        <w:t>三、课程及学分</w:t>
      </w:r>
    </w:p>
    <w:p>
      <w:pPr>
        <w:pStyle w:val="2"/>
        <w:spacing w:before="101" w:line="297" w:lineRule="auto"/>
        <w:ind w:left="141" w:right="180" w:firstLine="639"/>
        <w:jc w:val="both"/>
        <w:rPr>
          <w:lang w:eastAsia="zh-CN"/>
        </w:rPr>
      </w:pPr>
      <w:r>
        <w:rPr>
          <w:lang w:eastAsia="zh-CN"/>
        </w:rPr>
        <w:t>第八条 为了保证人才培养规格和质量，做到以人为本， 因材施教，个性发展，让学生根据自身条件、能力和兴趣， 合理规划学习时间、学习进度和知识结构，学院实行学分制学籍管理办法。毕业总学分：毕业总学分定额各专业可以有差别，一般三年制各高职专业应控制在 135-145 学分以内。二年制各高职专业应控制在 96-100 学分以内。</w:t>
      </w:r>
    </w:p>
    <w:p>
      <w:pPr>
        <w:pStyle w:val="2"/>
        <w:spacing w:before="24" w:line="297" w:lineRule="auto"/>
        <w:ind w:left="141" w:right="257" w:firstLine="639"/>
        <w:jc w:val="both"/>
        <w:rPr>
          <w:lang w:eastAsia="zh-CN"/>
        </w:rPr>
      </w:pPr>
      <w:r>
        <w:rPr>
          <w:lang w:eastAsia="zh-CN"/>
        </w:rPr>
        <w:t>第九条 学生参加社会实践、社会服务、创新实验、自主创业、发表论文、获得专利等活动可折算为学分，计入学习成绩。学校应当鼓励、支持和指导学生参加社会实践、社</w:t>
      </w:r>
    </w:p>
    <w:p>
      <w:pPr>
        <w:spacing w:line="297" w:lineRule="auto"/>
        <w:jc w:val="both"/>
        <w:rPr>
          <w:lang w:eastAsia="zh-CN"/>
        </w:rPr>
        <w:sectPr>
          <w:pgSz w:w="11910" w:h="16840"/>
          <w:pgMar w:top="1080" w:right="1540" w:bottom="1400" w:left="1560" w:header="893" w:footer="1145" w:gutter="0"/>
          <w:cols w:space="720" w:num="1"/>
        </w:sectPr>
      </w:pPr>
    </w:p>
    <w:p>
      <w:pPr>
        <w:pStyle w:val="2"/>
        <w:rPr>
          <w:sz w:val="20"/>
          <w:lang w:eastAsia="zh-CN"/>
        </w:rPr>
      </w:pPr>
    </w:p>
    <w:p>
      <w:pPr>
        <w:pStyle w:val="2"/>
        <w:rPr>
          <w:sz w:val="20"/>
          <w:lang w:eastAsia="zh-CN"/>
        </w:rPr>
      </w:pPr>
    </w:p>
    <w:p>
      <w:pPr>
        <w:pStyle w:val="2"/>
        <w:spacing w:before="137" w:line="297" w:lineRule="auto"/>
        <w:ind w:left="141" w:right="170"/>
        <w:rPr>
          <w:lang w:eastAsia="zh-CN"/>
        </w:rPr>
      </w:pPr>
      <w:r>
        <w:rPr>
          <w:lang w:eastAsia="zh-CN"/>
        </w:rPr>
        <w:t>会服务和开展勤工助学活动、可建立创新创业档案、设置创新创业学分、放宽学习年限。</w:t>
      </w:r>
    </w:p>
    <w:p>
      <w:pPr>
        <w:pStyle w:val="2"/>
        <w:spacing w:before="24"/>
        <w:ind w:left="781"/>
        <w:rPr>
          <w:lang w:eastAsia="zh-CN"/>
        </w:rPr>
      </w:pPr>
      <w:r>
        <w:rPr>
          <w:lang w:eastAsia="zh-CN"/>
        </w:rPr>
        <w:t>第十条 课程分为必修课和选修课</w:t>
      </w:r>
    </w:p>
    <w:p>
      <w:pPr>
        <w:pStyle w:val="2"/>
        <w:spacing w:before="102" w:line="297" w:lineRule="auto"/>
        <w:ind w:left="141" w:right="253" w:firstLine="639"/>
        <w:jc w:val="both"/>
        <w:rPr>
          <w:lang w:eastAsia="zh-CN"/>
        </w:rPr>
      </w:pPr>
      <w:r>
        <w:rPr>
          <w:lang w:eastAsia="zh-CN"/>
        </w:rPr>
        <w:t>（一）必修课指为保证人才培养的基本规格，学生必须学习的课程。必修课包括文化基础课、专业理论课和实践性环节。</w:t>
      </w:r>
    </w:p>
    <w:p>
      <w:pPr>
        <w:pStyle w:val="2"/>
        <w:spacing w:before="25" w:line="297" w:lineRule="auto"/>
        <w:ind w:left="141" w:right="252" w:firstLine="624"/>
        <w:jc w:val="both"/>
        <w:rPr>
          <w:lang w:eastAsia="zh-CN"/>
        </w:rPr>
      </w:pPr>
      <w:r>
        <w:rPr>
          <w:spacing w:val="-9"/>
          <w:lang w:eastAsia="zh-CN"/>
        </w:rPr>
        <w:t>（二</w:t>
      </w:r>
      <w:r>
        <w:rPr>
          <w:spacing w:val="-21"/>
          <w:lang w:eastAsia="zh-CN"/>
        </w:rPr>
        <w:t>）</w:t>
      </w:r>
      <w:r>
        <w:rPr>
          <w:spacing w:val="-10"/>
          <w:lang w:eastAsia="zh-CN"/>
        </w:rPr>
        <w:t>选修课指学生可以有选择性地进行学习的课程。选</w:t>
      </w:r>
      <w:r>
        <w:rPr>
          <w:spacing w:val="-9"/>
          <w:lang w:eastAsia="zh-CN"/>
        </w:rPr>
        <w:t>修课分为任选课、限选课和选修实践性环节。</w:t>
      </w:r>
    </w:p>
    <w:p>
      <w:pPr>
        <w:pStyle w:val="2"/>
        <w:spacing w:before="24" w:line="297" w:lineRule="auto"/>
        <w:ind w:left="141" w:right="257" w:firstLine="639"/>
        <w:jc w:val="both"/>
        <w:rPr>
          <w:lang w:eastAsia="zh-CN"/>
        </w:rPr>
      </w:pPr>
      <w:r>
        <w:rPr>
          <w:spacing w:val="-1"/>
          <w:lang w:eastAsia="zh-CN"/>
        </w:rPr>
        <w:t>1.</w:t>
      </w:r>
      <w:r>
        <w:rPr>
          <w:spacing w:val="-5"/>
          <w:lang w:eastAsia="zh-CN"/>
        </w:rPr>
        <w:t>任选课指为扩大学生的知识面,提高学生全面素质，培养和发展学生兴趣特长和潜能的课程。公共任选课面向全校学生开设，专业任选课面向本系部学生开设。学院和各系部应充分重视任选课的设置，开发较多的课程，鼓励学生自主</w:t>
      </w:r>
      <w:r>
        <w:rPr>
          <w:spacing w:val="-1"/>
          <w:lang w:eastAsia="zh-CN"/>
        </w:rPr>
        <w:t>选修，并认真作好任选课的教学管理工作。</w:t>
      </w:r>
    </w:p>
    <w:p>
      <w:pPr>
        <w:pStyle w:val="2"/>
        <w:spacing w:before="24" w:line="297" w:lineRule="auto"/>
        <w:ind w:left="141" w:right="98" w:firstLine="639"/>
        <w:rPr>
          <w:lang w:eastAsia="zh-CN"/>
        </w:rPr>
      </w:pPr>
      <w:r>
        <w:rPr>
          <w:spacing w:val="-1"/>
          <w:lang w:eastAsia="zh-CN"/>
        </w:rPr>
        <w:t>2.</w:t>
      </w:r>
      <w:r>
        <w:rPr>
          <w:spacing w:val="-18"/>
          <w:lang w:eastAsia="zh-CN"/>
        </w:rPr>
        <w:t>限选课指学生在系</w:t>
      </w:r>
      <w:r>
        <w:rPr>
          <w:lang w:eastAsia="zh-CN"/>
        </w:rPr>
        <w:t>（部</w:t>
      </w:r>
      <w:r>
        <w:rPr>
          <w:spacing w:val="-134"/>
          <w:lang w:eastAsia="zh-CN"/>
        </w:rPr>
        <w:t>）</w:t>
      </w:r>
      <w:r>
        <w:rPr>
          <w:spacing w:val="-12"/>
          <w:lang w:eastAsia="zh-CN"/>
        </w:rPr>
        <w:t xml:space="preserve">提供的选修课范围内，按系(部) </w:t>
      </w:r>
      <w:r>
        <w:rPr>
          <w:spacing w:val="-11"/>
          <w:lang w:eastAsia="zh-CN"/>
        </w:rPr>
        <w:t>规定要求选修一定学分，以深化、拓宽与专业相关的知识和</w:t>
      </w:r>
      <w:r>
        <w:rPr>
          <w:spacing w:val="-10"/>
          <w:lang w:eastAsia="zh-CN"/>
        </w:rPr>
        <w:t>能力的课程。各系(部)应不断更新教学内容，更好地适应社</w:t>
      </w:r>
      <w:r>
        <w:rPr>
          <w:spacing w:val="-1"/>
          <w:lang w:eastAsia="zh-CN"/>
        </w:rPr>
        <w:t>会进步的要求，满足学生的选择愿望。</w:t>
      </w:r>
    </w:p>
    <w:p>
      <w:pPr>
        <w:pStyle w:val="2"/>
        <w:spacing w:before="24" w:line="297" w:lineRule="auto"/>
        <w:ind w:left="141" w:right="257" w:firstLine="639"/>
        <w:jc w:val="both"/>
        <w:rPr>
          <w:lang w:eastAsia="zh-CN"/>
        </w:rPr>
      </w:pPr>
      <w:r>
        <w:rPr>
          <w:spacing w:val="-11"/>
          <w:lang w:eastAsia="zh-CN"/>
        </w:rPr>
        <w:t>第十一条 必修课、限选课、专业任选课和选修实践性环</w:t>
      </w:r>
      <w:r>
        <w:rPr>
          <w:spacing w:val="-10"/>
          <w:lang w:eastAsia="zh-CN"/>
        </w:rPr>
        <w:t>节应按其内在联系在各学期合理设置。公共选修课每学期由</w:t>
      </w:r>
      <w:r>
        <w:rPr>
          <w:spacing w:val="-1"/>
          <w:lang w:eastAsia="zh-CN"/>
        </w:rPr>
        <w:t>教务处统一安排。</w:t>
      </w:r>
    </w:p>
    <w:p>
      <w:pPr>
        <w:pStyle w:val="2"/>
        <w:spacing w:before="24" w:line="297" w:lineRule="auto"/>
        <w:ind w:left="141" w:right="257" w:firstLine="639"/>
        <w:jc w:val="both"/>
        <w:rPr>
          <w:lang w:eastAsia="zh-CN"/>
        </w:rPr>
      </w:pPr>
      <w:r>
        <w:rPr>
          <w:spacing w:val="-7"/>
          <w:lang w:eastAsia="zh-CN"/>
        </w:rPr>
        <w:t xml:space="preserve">第十二条 学分是度量学生学习量的计算单位，是学生学习课程所需时间的反映，是确定学生能否毕业的重要依据， </w:t>
      </w:r>
      <w:r>
        <w:rPr>
          <w:spacing w:val="-1"/>
          <w:lang w:eastAsia="zh-CN"/>
        </w:rPr>
        <w:t>也是制订教学计划的依据。具体学分计算方法如下：</w:t>
      </w:r>
    </w:p>
    <w:p>
      <w:pPr>
        <w:pStyle w:val="2"/>
        <w:spacing w:before="24" w:line="297" w:lineRule="auto"/>
        <w:ind w:left="141" w:right="253" w:firstLine="639"/>
        <w:jc w:val="both"/>
        <w:rPr>
          <w:lang w:eastAsia="zh-CN"/>
        </w:rPr>
      </w:pPr>
      <w:r>
        <w:rPr>
          <w:lang w:eastAsia="zh-CN"/>
        </w:rPr>
        <w:t>1</w:t>
      </w:r>
      <w:r>
        <w:rPr>
          <w:spacing w:val="1"/>
          <w:lang w:eastAsia="zh-CN"/>
        </w:rPr>
        <w:t>.理论教学：以课程为单位折算学分，原则上课程的周</w:t>
      </w:r>
      <w:r>
        <w:rPr>
          <w:spacing w:val="-9"/>
          <w:lang w:eastAsia="zh-CN"/>
        </w:rPr>
        <w:t xml:space="preserve">学时即为该课程的学分数，以 </w:t>
      </w:r>
      <w:r>
        <w:rPr>
          <w:lang w:eastAsia="zh-CN"/>
        </w:rPr>
        <w:t>18</w:t>
      </w:r>
      <w:r>
        <w:rPr>
          <w:spacing w:val="-29"/>
          <w:lang w:eastAsia="zh-CN"/>
        </w:rPr>
        <w:t xml:space="preserve"> 学时折算 </w:t>
      </w:r>
      <w:r>
        <w:rPr>
          <w:lang w:eastAsia="zh-CN"/>
        </w:rPr>
        <w:t>1</w:t>
      </w:r>
      <w:r>
        <w:rPr>
          <w:spacing w:val="-19"/>
          <w:lang w:eastAsia="zh-CN"/>
        </w:rPr>
        <w:t xml:space="preserve"> 学分，并按“二</w:t>
      </w:r>
      <w:r>
        <w:rPr>
          <w:spacing w:val="-23"/>
          <w:lang w:eastAsia="zh-CN"/>
        </w:rPr>
        <w:t xml:space="preserve">舍三入、七退八进”进行约算，学分的最小单位为 </w:t>
      </w:r>
      <w:r>
        <w:rPr>
          <w:lang w:eastAsia="zh-CN"/>
        </w:rPr>
        <w:t>0.5。</w:t>
      </w:r>
    </w:p>
    <w:p>
      <w:pPr>
        <w:spacing w:line="297" w:lineRule="auto"/>
        <w:jc w:val="both"/>
        <w:rPr>
          <w:lang w:eastAsia="zh-CN"/>
        </w:rPr>
        <w:sectPr>
          <w:pgSz w:w="11910" w:h="16840"/>
          <w:pgMar w:top="1080" w:right="1540" w:bottom="1400" w:left="1560" w:header="893" w:footer="1145" w:gutter="0"/>
          <w:cols w:space="720" w:num="1"/>
        </w:sectPr>
      </w:pPr>
    </w:p>
    <w:p>
      <w:pPr>
        <w:pStyle w:val="2"/>
        <w:rPr>
          <w:sz w:val="20"/>
          <w:lang w:eastAsia="zh-CN"/>
        </w:rPr>
      </w:pPr>
    </w:p>
    <w:p>
      <w:pPr>
        <w:pStyle w:val="2"/>
        <w:rPr>
          <w:sz w:val="20"/>
          <w:lang w:eastAsia="zh-CN"/>
        </w:rPr>
      </w:pPr>
    </w:p>
    <w:p>
      <w:pPr>
        <w:pStyle w:val="2"/>
        <w:spacing w:before="137"/>
        <w:ind w:left="781"/>
        <w:rPr>
          <w:lang w:eastAsia="zh-CN"/>
        </w:rPr>
      </w:pPr>
      <w:r>
        <w:rPr>
          <w:lang w:eastAsia="zh-CN"/>
        </w:rPr>
        <w:t>2．实践教学：以完成的实践技能项目为单位折算学分。</w:t>
      </w:r>
    </w:p>
    <w:p>
      <w:pPr>
        <w:pStyle w:val="2"/>
        <w:spacing w:before="100" w:line="297" w:lineRule="auto"/>
        <w:ind w:left="141" w:right="98" w:firstLine="639"/>
        <w:rPr>
          <w:lang w:eastAsia="zh-CN"/>
        </w:rPr>
      </w:pPr>
      <w:r>
        <w:rPr>
          <w:spacing w:val="-21"/>
          <w:lang w:eastAsia="zh-CN"/>
        </w:rPr>
        <w:t>（1）</w:t>
      </w:r>
      <w:r>
        <w:rPr>
          <w:spacing w:val="-14"/>
          <w:lang w:eastAsia="zh-CN"/>
        </w:rPr>
        <w:t>集中进行的专业实习、课程设计、毕业设计</w:t>
      </w:r>
      <w:r>
        <w:rPr>
          <w:lang w:eastAsia="zh-CN"/>
        </w:rPr>
        <w:t xml:space="preserve">（论文） </w:t>
      </w:r>
      <w:r>
        <w:rPr>
          <w:spacing w:val="-6"/>
          <w:lang w:eastAsia="zh-CN"/>
        </w:rPr>
        <w:t xml:space="preserve">等实践教学环节，每周计 </w:t>
      </w:r>
      <w:r>
        <w:rPr>
          <w:lang w:eastAsia="zh-CN"/>
        </w:rPr>
        <w:t>1</w:t>
      </w:r>
      <w:r>
        <w:rPr>
          <w:spacing w:val="-14"/>
          <w:lang w:eastAsia="zh-CN"/>
        </w:rPr>
        <w:t xml:space="preserve"> 学分；毕业实习每周 </w:t>
      </w:r>
      <w:r>
        <w:rPr>
          <w:lang w:eastAsia="zh-CN"/>
        </w:rPr>
        <w:t>0.5</w:t>
      </w:r>
      <w:r>
        <w:rPr>
          <w:spacing w:val="-17"/>
          <w:lang w:eastAsia="zh-CN"/>
        </w:rPr>
        <w:t xml:space="preserve"> 学分计</w:t>
      </w:r>
      <w:r>
        <w:rPr>
          <w:spacing w:val="-1"/>
          <w:lang w:eastAsia="zh-CN"/>
        </w:rPr>
        <w:t>算。</w:t>
      </w:r>
    </w:p>
    <w:p>
      <w:pPr>
        <w:pStyle w:val="2"/>
        <w:spacing w:before="23" w:line="297" w:lineRule="auto"/>
        <w:ind w:left="141" w:right="256" w:firstLine="639"/>
        <w:jc w:val="both"/>
        <w:rPr>
          <w:lang w:eastAsia="zh-CN"/>
        </w:rPr>
      </w:pPr>
      <w:r>
        <w:rPr>
          <w:spacing w:val="-5"/>
          <w:lang w:eastAsia="zh-CN"/>
        </w:rPr>
        <w:t>（2）公益劳动、军训、入学</w:t>
      </w:r>
      <w:r>
        <w:rPr>
          <w:lang w:eastAsia="zh-CN"/>
        </w:rPr>
        <w:t>（毕业</w:t>
      </w:r>
      <w:r>
        <w:rPr>
          <w:spacing w:val="-11"/>
          <w:lang w:eastAsia="zh-CN"/>
        </w:rPr>
        <w:t>）</w:t>
      </w:r>
      <w:r>
        <w:rPr>
          <w:spacing w:val="-5"/>
          <w:lang w:eastAsia="zh-CN"/>
        </w:rPr>
        <w:t>教育、体育、艺术</w:t>
      </w:r>
      <w:r>
        <w:rPr>
          <w:spacing w:val="-12"/>
          <w:lang w:eastAsia="zh-CN"/>
        </w:rPr>
        <w:t xml:space="preserve">操作练习类选修课程按 </w:t>
      </w:r>
      <w:r>
        <w:rPr>
          <w:lang w:eastAsia="zh-CN"/>
        </w:rPr>
        <w:t>36</w:t>
      </w:r>
      <w:r>
        <w:rPr>
          <w:spacing w:val="-34"/>
          <w:lang w:eastAsia="zh-CN"/>
        </w:rPr>
        <w:t xml:space="preserve"> 学时计 </w:t>
      </w:r>
      <w:r>
        <w:rPr>
          <w:lang w:eastAsia="zh-CN"/>
        </w:rPr>
        <w:t>1</w:t>
      </w:r>
      <w:r>
        <w:rPr>
          <w:spacing w:val="-34"/>
          <w:lang w:eastAsia="zh-CN"/>
        </w:rPr>
        <w:t xml:space="preserve"> 学分或 </w:t>
      </w:r>
      <w:r>
        <w:rPr>
          <w:lang w:eastAsia="zh-CN"/>
        </w:rPr>
        <w:t>2</w:t>
      </w:r>
      <w:r>
        <w:rPr>
          <w:spacing w:val="-42"/>
          <w:lang w:eastAsia="zh-CN"/>
        </w:rPr>
        <w:t xml:space="preserve"> 周计 </w:t>
      </w:r>
      <w:r>
        <w:rPr>
          <w:lang w:eastAsia="zh-CN"/>
        </w:rPr>
        <w:t>1</w:t>
      </w:r>
      <w:r>
        <w:rPr>
          <w:spacing w:val="-21"/>
          <w:lang w:eastAsia="zh-CN"/>
        </w:rPr>
        <w:t xml:space="preserve"> 学分。</w:t>
      </w:r>
    </w:p>
    <w:p>
      <w:pPr>
        <w:pStyle w:val="2"/>
        <w:spacing w:before="25" w:line="297" w:lineRule="auto"/>
        <w:ind w:left="141" w:right="260" w:firstLine="639"/>
        <w:jc w:val="both"/>
        <w:rPr>
          <w:lang w:eastAsia="zh-CN"/>
        </w:rPr>
      </w:pPr>
      <w:r>
        <w:rPr>
          <w:lang w:eastAsia="zh-CN"/>
        </w:rPr>
        <w:t>（3）</w:t>
      </w:r>
      <w:r>
        <w:rPr>
          <w:spacing w:val="-6"/>
          <w:lang w:eastAsia="zh-CN"/>
        </w:rPr>
        <w:t xml:space="preserve">独立开设的实验课按 </w:t>
      </w:r>
      <w:r>
        <w:rPr>
          <w:lang w:eastAsia="zh-CN"/>
        </w:rPr>
        <w:t>18</w:t>
      </w:r>
      <w:r>
        <w:rPr>
          <w:spacing w:val="-24"/>
          <w:lang w:eastAsia="zh-CN"/>
        </w:rPr>
        <w:t xml:space="preserve"> 学时计 </w:t>
      </w:r>
      <w:r>
        <w:rPr>
          <w:lang w:eastAsia="zh-CN"/>
        </w:rPr>
        <w:t>1</w:t>
      </w:r>
      <w:r>
        <w:rPr>
          <w:spacing w:val="-24"/>
          <w:lang w:eastAsia="zh-CN"/>
        </w:rPr>
        <w:t xml:space="preserve"> 学分或 </w:t>
      </w:r>
      <w:r>
        <w:rPr>
          <w:lang w:eastAsia="zh-CN"/>
        </w:rPr>
        <w:t>1</w:t>
      </w:r>
      <w:r>
        <w:rPr>
          <w:spacing w:val="-30"/>
          <w:lang w:eastAsia="zh-CN"/>
        </w:rPr>
        <w:t xml:space="preserve"> 周计 </w:t>
      </w:r>
      <w:r>
        <w:rPr>
          <w:lang w:eastAsia="zh-CN"/>
        </w:rPr>
        <w:t xml:space="preserve">1 </w:t>
      </w:r>
      <w:r>
        <w:rPr>
          <w:spacing w:val="-1"/>
          <w:lang w:eastAsia="zh-CN"/>
        </w:rPr>
        <w:t>学分。</w:t>
      </w:r>
    </w:p>
    <w:p>
      <w:pPr>
        <w:pStyle w:val="2"/>
        <w:spacing w:before="24" w:line="297" w:lineRule="auto"/>
        <w:ind w:left="141" w:right="259" w:firstLine="639"/>
        <w:jc w:val="both"/>
        <w:rPr>
          <w:lang w:eastAsia="zh-CN"/>
        </w:rPr>
      </w:pPr>
      <w:r>
        <w:rPr>
          <w:spacing w:val="-14"/>
          <w:lang w:eastAsia="zh-CN"/>
        </w:rPr>
        <w:t>（4）</w:t>
      </w:r>
      <w:r>
        <w:rPr>
          <w:spacing w:val="-6"/>
          <w:lang w:eastAsia="zh-CN"/>
        </w:rPr>
        <w:t xml:space="preserve">社会实践原则上集中安排的每周计 </w:t>
      </w:r>
      <w:r>
        <w:rPr>
          <w:lang w:eastAsia="zh-CN"/>
        </w:rPr>
        <w:t>0.5</w:t>
      </w:r>
      <w:r>
        <w:rPr>
          <w:spacing w:val="-22"/>
          <w:lang w:eastAsia="zh-CN"/>
        </w:rPr>
        <w:t xml:space="preserve"> 学分，分散</w:t>
      </w:r>
      <w:r>
        <w:rPr>
          <w:spacing w:val="-1"/>
          <w:lang w:eastAsia="zh-CN"/>
        </w:rPr>
        <w:t>安排的由各系（部）视具体情况确定。</w:t>
      </w:r>
    </w:p>
    <w:p>
      <w:pPr>
        <w:pStyle w:val="2"/>
        <w:spacing w:before="24" w:line="297" w:lineRule="auto"/>
        <w:ind w:left="141" w:right="259" w:firstLine="639"/>
        <w:jc w:val="both"/>
        <w:rPr>
          <w:lang w:eastAsia="zh-CN"/>
        </w:rPr>
      </w:pPr>
      <w:r>
        <w:rPr>
          <w:spacing w:val="-21"/>
          <w:lang w:eastAsia="zh-CN"/>
        </w:rPr>
        <w:t>3</w:t>
      </w:r>
      <w:r>
        <w:rPr>
          <w:spacing w:val="-9"/>
          <w:lang w:eastAsia="zh-CN"/>
        </w:rPr>
        <w:t>．课外素质教育选修项目：课外素质教育选修项目按项</w:t>
      </w:r>
      <w:r>
        <w:rPr>
          <w:spacing w:val="-15"/>
          <w:lang w:eastAsia="zh-CN"/>
        </w:rPr>
        <w:t xml:space="preserve">目折算学分，一般一个项目折算 </w:t>
      </w:r>
      <w:r>
        <w:rPr>
          <w:lang w:eastAsia="zh-CN"/>
        </w:rPr>
        <w:t>0.5</w:t>
      </w:r>
      <w:r>
        <w:rPr>
          <w:spacing w:val="-23"/>
          <w:lang w:eastAsia="zh-CN"/>
        </w:rPr>
        <w:t xml:space="preserve"> 学分。</w:t>
      </w:r>
    </w:p>
    <w:p>
      <w:pPr>
        <w:pStyle w:val="2"/>
        <w:spacing w:before="25"/>
        <w:ind w:left="781"/>
        <w:rPr>
          <w:lang w:eastAsia="zh-CN"/>
        </w:rPr>
      </w:pPr>
      <w:r>
        <w:rPr>
          <w:lang w:eastAsia="zh-CN"/>
        </w:rPr>
        <w:t>4．以下课程和教育环节不计学分；</w:t>
      </w:r>
    </w:p>
    <w:p>
      <w:pPr>
        <w:pStyle w:val="2"/>
        <w:spacing w:before="100"/>
        <w:ind w:left="781"/>
        <w:rPr>
          <w:lang w:eastAsia="zh-CN"/>
        </w:rPr>
      </w:pPr>
      <w:r>
        <w:rPr>
          <w:lang w:eastAsia="zh-CN"/>
        </w:rPr>
        <w:t>（1）一学期不满 8 学时的理论课课程；</w:t>
      </w:r>
    </w:p>
    <w:p>
      <w:pPr>
        <w:pStyle w:val="2"/>
        <w:spacing w:before="100" w:line="297" w:lineRule="auto"/>
        <w:ind w:left="781" w:right="2089"/>
        <w:rPr>
          <w:lang w:eastAsia="zh-CN"/>
        </w:rPr>
      </w:pPr>
      <w:r>
        <w:rPr>
          <w:lang w:eastAsia="zh-CN"/>
        </w:rPr>
        <w:t>（2）不满一周的一次性教学实训、实习； 四、考核与成绩、绩点记载办法</w:t>
      </w:r>
    </w:p>
    <w:p>
      <w:pPr>
        <w:pStyle w:val="2"/>
        <w:spacing w:before="23" w:line="297" w:lineRule="auto"/>
        <w:ind w:left="141" w:right="258" w:firstLine="639"/>
        <w:jc w:val="both"/>
        <w:rPr>
          <w:lang w:eastAsia="zh-CN"/>
        </w:rPr>
      </w:pPr>
      <w:r>
        <w:rPr>
          <w:spacing w:val="-7"/>
          <w:lang w:eastAsia="zh-CN"/>
        </w:rPr>
        <w:t>第十三条 成绩考核包括学业和操行两个方面。学业方面包括按教学计划规定开设的课程、实验专用周、课程设计、教学实习、生产实习、选修实践性环节等；操行方面包括学</w:t>
      </w:r>
      <w:r>
        <w:rPr>
          <w:spacing w:val="-1"/>
          <w:lang w:eastAsia="zh-CN"/>
        </w:rPr>
        <w:t>生的思想品德、组织纪律和行为习惯等。</w:t>
      </w:r>
    </w:p>
    <w:p>
      <w:pPr>
        <w:pStyle w:val="2"/>
        <w:spacing w:before="23" w:line="297" w:lineRule="auto"/>
        <w:ind w:left="141" w:right="259" w:firstLine="639"/>
        <w:jc w:val="both"/>
        <w:rPr>
          <w:lang w:eastAsia="zh-CN"/>
        </w:rPr>
      </w:pPr>
      <w:r>
        <w:rPr>
          <w:spacing w:val="-7"/>
          <w:lang w:eastAsia="zh-CN"/>
        </w:rPr>
        <w:t>第十四条 学生注册后所选的课程经考核合格后，该课程成绩和学分将在教学管理系统中的学生成绩档案上予以登记注册。</w:t>
      </w:r>
    </w:p>
    <w:p>
      <w:pPr>
        <w:pStyle w:val="2"/>
        <w:spacing w:before="23" w:line="297" w:lineRule="auto"/>
        <w:ind w:left="141" w:right="170" w:firstLine="639"/>
        <w:rPr>
          <w:lang w:eastAsia="zh-CN"/>
        </w:rPr>
      </w:pPr>
      <w:r>
        <w:rPr>
          <w:lang w:eastAsia="zh-CN"/>
        </w:rPr>
        <w:t>第十五条 除免考课程外，学生所修课程均应参加考核， 按课程的不同要求,任课教师在教学计划中拟订考核方案,经教研室、系（部）审核，教务处批准后实施。考核成绩（方</w:t>
      </w:r>
    </w:p>
    <w:p>
      <w:pPr>
        <w:spacing w:line="297" w:lineRule="auto"/>
        <w:rPr>
          <w:lang w:eastAsia="zh-CN"/>
        </w:rPr>
        <w:sectPr>
          <w:pgSz w:w="11910" w:h="16840"/>
          <w:pgMar w:top="1080" w:right="1540" w:bottom="1400" w:left="1560" w:header="893" w:footer="1145" w:gutter="0"/>
          <w:cols w:space="720" w:num="1"/>
        </w:sectPr>
      </w:pPr>
    </w:p>
    <w:p>
      <w:pPr>
        <w:pStyle w:val="2"/>
        <w:rPr>
          <w:sz w:val="20"/>
          <w:lang w:eastAsia="zh-CN"/>
        </w:rPr>
      </w:pPr>
    </w:p>
    <w:p>
      <w:pPr>
        <w:pStyle w:val="2"/>
        <w:rPr>
          <w:sz w:val="20"/>
          <w:lang w:eastAsia="zh-CN"/>
        </w:rPr>
      </w:pPr>
    </w:p>
    <w:p>
      <w:pPr>
        <w:pStyle w:val="2"/>
        <w:spacing w:before="137" w:line="297" w:lineRule="auto"/>
        <w:ind w:left="141" w:right="339"/>
        <w:jc w:val="both"/>
        <w:rPr>
          <w:lang w:eastAsia="zh-CN"/>
        </w:rPr>
      </w:pPr>
      <w:r>
        <w:rPr>
          <w:lang w:eastAsia="zh-CN"/>
        </w:rPr>
        <w:t>式）由系部上报经教务处审批的考核方案执行。使得考核方式更为灵活，更为客观的评价每个学生的能力，总评成绩及格，方可获得相应学分。</w:t>
      </w:r>
    </w:p>
    <w:p>
      <w:pPr>
        <w:pStyle w:val="2"/>
        <w:spacing w:before="25" w:line="297" w:lineRule="auto"/>
        <w:ind w:left="141" w:right="259" w:firstLine="639"/>
        <w:jc w:val="both"/>
        <w:rPr>
          <w:lang w:eastAsia="zh-CN"/>
        </w:rPr>
      </w:pPr>
      <w:r>
        <w:rPr>
          <w:lang w:eastAsia="zh-CN"/>
        </w:rPr>
        <w:t>第十六条 凡一门课程分几个学期讲授，每学期作为独</w:t>
      </w:r>
      <w:r>
        <w:rPr>
          <w:spacing w:val="-12"/>
          <w:lang w:eastAsia="zh-CN"/>
        </w:rPr>
        <w:t>立一门课程进行考试或考查，其成绩按学期评定，并登入学生成绩卡片。</w:t>
      </w:r>
    </w:p>
    <w:p>
      <w:pPr>
        <w:pStyle w:val="2"/>
        <w:tabs>
          <w:tab w:val="left" w:pos="2400"/>
        </w:tabs>
        <w:spacing w:before="25" w:line="297" w:lineRule="auto"/>
        <w:ind w:left="141" w:right="98" w:firstLine="639"/>
        <w:rPr>
          <w:lang w:eastAsia="zh-CN"/>
        </w:rPr>
      </w:pPr>
      <w:r>
        <w:rPr>
          <w:lang w:eastAsia="zh-CN"/>
        </w:rPr>
        <w:t>第十七条</w:t>
      </w:r>
      <w:r>
        <w:rPr>
          <w:lang w:eastAsia="zh-CN"/>
        </w:rPr>
        <w:tab/>
      </w:r>
      <w:r>
        <w:rPr>
          <w:lang w:eastAsia="zh-CN"/>
        </w:rPr>
        <w:t>凡教学计划规定单独设课的各种实践</w:t>
      </w:r>
      <w:r>
        <w:rPr>
          <w:spacing w:val="4"/>
          <w:lang w:eastAsia="zh-CN"/>
        </w:rPr>
        <w:t>性教</w:t>
      </w:r>
      <w:r>
        <w:rPr>
          <w:lang w:eastAsia="zh-CN"/>
        </w:rPr>
        <w:t>学 环节，每学期均按一门课程</w:t>
      </w:r>
      <w:r>
        <w:rPr>
          <w:spacing w:val="4"/>
          <w:lang w:eastAsia="zh-CN"/>
        </w:rPr>
        <w:t>计</w:t>
      </w:r>
      <w:r>
        <w:rPr>
          <w:lang w:eastAsia="zh-CN"/>
        </w:rPr>
        <w:t>算。实验课时占本门课程的比例达</w:t>
      </w:r>
      <w:r>
        <w:rPr>
          <w:spacing w:val="-91"/>
          <w:lang w:eastAsia="zh-CN"/>
        </w:rPr>
        <w:t xml:space="preserve"> </w:t>
      </w:r>
      <w:r>
        <w:rPr>
          <w:lang w:eastAsia="zh-CN"/>
        </w:rPr>
        <w:t>30%的</w:t>
      </w:r>
      <w:r>
        <w:rPr>
          <w:spacing w:val="-107"/>
          <w:lang w:eastAsia="zh-CN"/>
        </w:rPr>
        <w:t>，</w:t>
      </w:r>
      <w:r>
        <w:rPr>
          <w:lang w:eastAsia="zh-CN"/>
        </w:rPr>
        <w:t>实验成绩应单独记分</w:t>
      </w:r>
      <w:r>
        <w:rPr>
          <w:spacing w:val="-108"/>
          <w:lang w:eastAsia="zh-CN"/>
        </w:rPr>
        <w:t>，</w:t>
      </w:r>
      <w:r>
        <w:rPr>
          <w:lang w:eastAsia="zh-CN"/>
        </w:rPr>
        <w:t>按一门课计算</w:t>
      </w:r>
      <w:r>
        <w:rPr>
          <w:spacing w:val="-108"/>
          <w:lang w:eastAsia="zh-CN"/>
        </w:rPr>
        <w:t>。</w:t>
      </w:r>
      <w:r>
        <w:rPr>
          <w:lang w:eastAsia="zh-CN"/>
        </w:rPr>
        <w:t>毕业设计、</w:t>
      </w:r>
      <w:r>
        <w:rPr>
          <w:spacing w:val="-1"/>
          <w:lang w:eastAsia="zh-CN"/>
        </w:rPr>
        <w:t>毕业论文、毕业实习、生产实习均按一门课计算。</w:t>
      </w:r>
    </w:p>
    <w:p>
      <w:pPr>
        <w:pStyle w:val="2"/>
        <w:spacing w:before="24" w:line="297" w:lineRule="auto"/>
        <w:ind w:left="141" w:right="258" w:firstLine="639"/>
        <w:jc w:val="both"/>
        <w:rPr>
          <w:lang w:eastAsia="zh-CN"/>
        </w:rPr>
      </w:pPr>
      <w:r>
        <w:rPr>
          <w:spacing w:val="-8"/>
          <w:lang w:eastAsia="zh-CN"/>
        </w:rPr>
        <w:t>第十八条 考核分为考试和考查两种，考试采用百分制记</w:t>
      </w:r>
      <w:r>
        <w:rPr>
          <w:spacing w:val="-23"/>
          <w:lang w:eastAsia="zh-CN"/>
        </w:rPr>
        <w:t xml:space="preserve">分，考查以 </w:t>
      </w:r>
      <w:r>
        <w:rPr>
          <w:lang w:eastAsia="zh-CN"/>
        </w:rPr>
        <w:t>A(</w:t>
      </w:r>
      <w:r>
        <w:rPr>
          <w:spacing w:val="-11"/>
          <w:lang w:eastAsia="zh-CN"/>
        </w:rPr>
        <w:t>优)、</w:t>
      </w:r>
      <w:r>
        <w:rPr>
          <w:lang w:eastAsia="zh-CN"/>
        </w:rPr>
        <w:t>B(</w:t>
      </w:r>
      <w:r>
        <w:rPr>
          <w:spacing w:val="-11"/>
          <w:lang w:eastAsia="zh-CN"/>
        </w:rPr>
        <w:t>良)、</w:t>
      </w:r>
      <w:r>
        <w:rPr>
          <w:lang w:eastAsia="zh-CN"/>
        </w:rPr>
        <w:t>C</w:t>
      </w:r>
      <w:r>
        <w:rPr>
          <w:spacing w:val="-8"/>
          <w:lang w:eastAsia="zh-CN"/>
        </w:rPr>
        <w:t>(中)、</w:t>
      </w:r>
      <w:r>
        <w:rPr>
          <w:lang w:eastAsia="zh-CN"/>
        </w:rPr>
        <w:t>D(</w:t>
      </w:r>
      <w:r>
        <w:rPr>
          <w:spacing w:val="-9"/>
          <w:lang w:eastAsia="zh-CN"/>
        </w:rPr>
        <w:t>及格)、</w:t>
      </w:r>
      <w:r>
        <w:rPr>
          <w:lang w:eastAsia="zh-CN"/>
        </w:rPr>
        <w:t>E(不及格)五级记分，也可采取百分制记分。五级制和百分制之间的换算关</w:t>
      </w:r>
      <w:r>
        <w:rPr>
          <w:spacing w:val="-1"/>
          <w:lang w:eastAsia="zh-CN"/>
        </w:rPr>
        <w:t>系见表一。</w:t>
      </w:r>
    </w:p>
    <w:p>
      <w:pPr>
        <w:pStyle w:val="2"/>
        <w:spacing w:before="24" w:line="297" w:lineRule="auto"/>
        <w:ind w:left="141" w:right="9" w:firstLine="639"/>
        <w:rPr>
          <w:lang w:eastAsia="zh-CN"/>
        </w:rPr>
      </w:pPr>
      <w:r>
        <w:rPr>
          <w:lang w:eastAsia="zh-CN"/>
        </w:rPr>
        <w:t>第十九条 每学期考试和考查的课程由教务处按教学计划的规定安排。文化基础课和主干专业课尽量实行教考分离。考试形式和考试方法应根据教学大纲的要求以及各门课程的特点由教研室提出初步意见，报系部审核同意。</w:t>
      </w:r>
    </w:p>
    <w:p>
      <w:pPr>
        <w:pStyle w:val="2"/>
        <w:spacing w:before="25" w:line="297" w:lineRule="auto"/>
        <w:ind w:left="141" w:right="329" w:firstLine="639"/>
        <w:rPr>
          <w:lang w:eastAsia="zh-CN"/>
        </w:rPr>
      </w:pPr>
      <w:r>
        <w:rPr>
          <w:lang w:eastAsia="zh-CN"/>
        </w:rPr>
        <w:t>第二十条 为了充分反映学生掌握知识和技能的程度和学习的能力，对学生的学习成绩采取学分绩点计算办法。考核成绩与课程绩点之间的对应关系如下：</w:t>
      </w:r>
    </w:p>
    <w:p>
      <w:pPr>
        <w:spacing w:line="297" w:lineRule="auto"/>
        <w:rPr>
          <w:lang w:eastAsia="zh-CN"/>
        </w:rPr>
        <w:sectPr>
          <w:pgSz w:w="11910" w:h="16840"/>
          <w:pgMar w:top="1080" w:right="1540" w:bottom="1400" w:left="1560" w:header="893" w:footer="1145" w:gutter="0"/>
          <w:cols w:space="720" w:num="1"/>
        </w:sectPr>
      </w:pPr>
    </w:p>
    <w:p>
      <w:pPr>
        <w:pStyle w:val="2"/>
        <w:rPr>
          <w:sz w:val="20"/>
          <w:lang w:eastAsia="zh-CN"/>
        </w:rPr>
      </w:pPr>
    </w:p>
    <w:p>
      <w:pPr>
        <w:pStyle w:val="2"/>
        <w:rPr>
          <w:sz w:val="20"/>
          <w:lang w:eastAsia="zh-CN"/>
        </w:rPr>
      </w:pPr>
    </w:p>
    <w:p>
      <w:pPr>
        <w:pStyle w:val="2"/>
        <w:spacing w:before="157" w:after="48"/>
        <w:ind w:left="1862"/>
        <w:rPr>
          <w:lang w:eastAsia="zh-CN"/>
        </w:rPr>
      </w:pPr>
      <w:r>
        <w:rPr>
          <w:lang w:eastAsia="zh-CN"/>
        </w:rPr>
        <w:t>表一：成绩分数、等级、绩点换算关系表</w:t>
      </w:r>
    </w:p>
    <w:tbl>
      <w:tblPr>
        <w:tblStyle w:val="7"/>
        <w:tblW w:w="8697" w:type="dxa"/>
        <w:tblInd w:w="117" w:type="dxa"/>
        <w:tblBorders>
          <w:top w:val="single" w:color="334C65" w:sz="12" w:space="0"/>
          <w:left w:val="single" w:color="334C65" w:sz="12" w:space="0"/>
          <w:bottom w:val="single" w:color="334C65" w:sz="12" w:space="0"/>
          <w:right w:val="single" w:color="334C65" w:sz="12" w:space="0"/>
          <w:insideH w:val="single" w:color="334C65" w:sz="12" w:space="0"/>
          <w:insideV w:val="single" w:color="334C65" w:sz="12" w:space="0"/>
        </w:tblBorders>
        <w:tblLayout w:type="fixed"/>
        <w:tblCellMar>
          <w:top w:w="0" w:type="dxa"/>
          <w:left w:w="0" w:type="dxa"/>
          <w:bottom w:w="0" w:type="dxa"/>
          <w:right w:w="0" w:type="dxa"/>
        </w:tblCellMar>
      </w:tblPr>
      <w:tblGrid>
        <w:gridCol w:w="1517"/>
        <w:gridCol w:w="2636"/>
        <w:gridCol w:w="2533"/>
        <w:gridCol w:w="2011"/>
      </w:tblGrid>
      <w:tr>
        <w:tblPrEx>
          <w:tblBorders>
            <w:top w:val="single" w:color="334C65" w:sz="12" w:space="0"/>
            <w:left w:val="single" w:color="334C65" w:sz="12" w:space="0"/>
            <w:bottom w:val="single" w:color="334C65" w:sz="12" w:space="0"/>
            <w:right w:val="single" w:color="334C65" w:sz="12" w:space="0"/>
            <w:insideH w:val="single" w:color="334C65" w:sz="12" w:space="0"/>
            <w:insideV w:val="single" w:color="334C65" w:sz="12" w:space="0"/>
          </w:tblBorders>
          <w:tblLayout w:type="fixed"/>
          <w:tblCellMar>
            <w:top w:w="0" w:type="dxa"/>
            <w:left w:w="0" w:type="dxa"/>
            <w:bottom w:w="0" w:type="dxa"/>
            <w:right w:w="0" w:type="dxa"/>
          </w:tblCellMar>
        </w:tblPrEx>
        <w:trPr>
          <w:trHeight w:val="569" w:hRule="exact"/>
        </w:trPr>
        <w:tc>
          <w:tcPr>
            <w:tcW w:w="1517" w:type="dxa"/>
            <w:tcBorders>
              <w:left w:val="single" w:color="659ACC" w:sz="6" w:space="0"/>
              <w:bottom w:val="double" w:color="334C65" w:sz="4" w:space="0"/>
            </w:tcBorders>
          </w:tcPr>
          <w:p>
            <w:pPr>
              <w:pStyle w:val="6"/>
              <w:spacing w:before="72"/>
              <w:ind w:left="643"/>
              <w:rPr>
                <w:sz w:val="32"/>
              </w:rPr>
            </w:pPr>
            <w:r>
              <w:rPr>
                <w:sz w:val="32"/>
              </w:rPr>
              <w:t>成绩</w:t>
            </w:r>
          </w:p>
        </w:tc>
        <w:tc>
          <w:tcPr>
            <w:tcW w:w="2636" w:type="dxa"/>
            <w:tcBorders>
              <w:bottom w:val="double" w:color="334C65" w:sz="4" w:space="0"/>
            </w:tcBorders>
          </w:tcPr>
          <w:p>
            <w:pPr>
              <w:pStyle w:val="6"/>
              <w:spacing w:before="72"/>
              <w:ind w:left="639"/>
              <w:rPr>
                <w:sz w:val="32"/>
              </w:rPr>
            </w:pPr>
            <w:r>
              <w:rPr>
                <w:sz w:val="32"/>
              </w:rPr>
              <w:t>成绩等级</w:t>
            </w:r>
          </w:p>
        </w:tc>
        <w:tc>
          <w:tcPr>
            <w:tcW w:w="4544" w:type="dxa"/>
            <w:gridSpan w:val="2"/>
            <w:tcBorders>
              <w:bottom w:val="double" w:color="334C65" w:sz="4" w:space="0"/>
              <w:right w:val="single" w:color="334C65" w:sz="6" w:space="0"/>
            </w:tcBorders>
          </w:tcPr>
          <w:p>
            <w:pPr>
              <w:pStyle w:val="6"/>
              <w:spacing w:before="72"/>
              <w:ind w:left="640"/>
              <w:rPr>
                <w:sz w:val="32"/>
              </w:rPr>
            </w:pPr>
            <w:r>
              <w:rPr>
                <w:sz w:val="32"/>
              </w:rPr>
              <w:t>课 程 绩 点</w:t>
            </w:r>
          </w:p>
        </w:tc>
      </w:tr>
      <w:tr>
        <w:tblPrEx>
          <w:tblBorders>
            <w:top w:val="single" w:color="334C65" w:sz="12" w:space="0"/>
            <w:left w:val="single" w:color="334C65" w:sz="12" w:space="0"/>
            <w:bottom w:val="single" w:color="334C65" w:sz="12" w:space="0"/>
            <w:right w:val="single" w:color="334C65" w:sz="12" w:space="0"/>
            <w:insideH w:val="single" w:color="334C65" w:sz="12" w:space="0"/>
            <w:insideV w:val="single" w:color="334C65" w:sz="12" w:space="0"/>
          </w:tblBorders>
          <w:tblLayout w:type="fixed"/>
          <w:tblCellMar>
            <w:top w:w="0" w:type="dxa"/>
            <w:left w:w="0" w:type="dxa"/>
            <w:bottom w:w="0" w:type="dxa"/>
            <w:right w:w="0" w:type="dxa"/>
          </w:tblCellMar>
        </w:tblPrEx>
        <w:trPr>
          <w:trHeight w:val="860" w:hRule="exact"/>
        </w:trPr>
        <w:tc>
          <w:tcPr>
            <w:tcW w:w="1517" w:type="dxa"/>
            <w:tcBorders>
              <w:top w:val="double" w:color="334C65" w:sz="4" w:space="0"/>
              <w:left w:val="single" w:color="659ACC" w:sz="6" w:space="0"/>
              <w:bottom w:val="double" w:color="334C65" w:sz="4" w:space="0"/>
            </w:tcBorders>
          </w:tcPr>
          <w:p>
            <w:pPr>
              <w:pStyle w:val="6"/>
              <w:spacing w:line="363" w:lineRule="exact"/>
              <w:ind w:left="3"/>
              <w:rPr>
                <w:sz w:val="32"/>
              </w:rPr>
            </w:pPr>
            <w:r>
              <w:rPr>
                <w:sz w:val="32"/>
              </w:rPr>
              <w:t>90～100</w:t>
            </w:r>
          </w:p>
          <w:p>
            <w:pPr>
              <w:pStyle w:val="6"/>
              <w:spacing w:line="416" w:lineRule="exact"/>
              <w:ind w:left="3"/>
              <w:rPr>
                <w:sz w:val="32"/>
              </w:rPr>
            </w:pPr>
            <w:r>
              <w:rPr>
                <w:sz w:val="32"/>
              </w:rPr>
              <w:t>85～89</w:t>
            </w:r>
          </w:p>
        </w:tc>
        <w:tc>
          <w:tcPr>
            <w:tcW w:w="2636" w:type="dxa"/>
            <w:tcBorders>
              <w:top w:val="double" w:color="334C65" w:sz="4" w:space="0"/>
              <w:bottom w:val="double" w:color="334C65" w:sz="4" w:space="0"/>
            </w:tcBorders>
          </w:tcPr>
          <w:p>
            <w:pPr>
              <w:pStyle w:val="6"/>
              <w:spacing w:before="153"/>
              <w:ind w:left="-2"/>
              <w:rPr>
                <w:sz w:val="32"/>
              </w:rPr>
            </w:pPr>
            <w:r>
              <w:rPr>
                <w:sz w:val="32"/>
              </w:rPr>
              <w:t>优（90、4.0）</w:t>
            </w:r>
          </w:p>
        </w:tc>
        <w:tc>
          <w:tcPr>
            <w:tcW w:w="2533" w:type="dxa"/>
            <w:tcBorders>
              <w:top w:val="double" w:color="334C65" w:sz="4" w:space="0"/>
              <w:bottom w:val="double" w:color="334C65" w:sz="4" w:space="0"/>
            </w:tcBorders>
          </w:tcPr>
          <w:p>
            <w:pPr>
              <w:pStyle w:val="6"/>
              <w:spacing w:line="363" w:lineRule="exact"/>
              <w:ind w:left="639"/>
              <w:rPr>
                <w:sz w:val="32"/>
              </w:rPr>
            </w:pPr>
            <w:r>
              <w:rPr>
                <w:sz w:val="32"/>
              </w:rPr>
              <w:t>A （95）</w:t>
            </w:r>
          </w:p>
          <w:p>
            <w:pPr>
              <w:pStyle w:val="6"/>
              <w:spacing w:line="416" w:lineRule="exact"/>
              <w:ind w:left="639"/>
              <w:rPr>
                <w:sz w:val="32"/>
              </w:rPr>
            </w:pPr>
            <w:r>
              <w:rPr>
                <w:sz w:val="32"/>
              </w:rPr>
              <w:t>A-（87）</w:t>
            </w:r>
          </w:p>
        </w:tc>
        <w:tc>
          <w:tcPr>
            <w:tcW w:w="2011" w:type="dxa"/>
            <w:tcBorders>
              <w:top w:val="double" w:color="334C65" w:sz="4" w:space="0"/>
              <w:bottom w:val="double" w:color="334C65" w:sz="4" w:space="0"/>
              <w:right w:val="single" w:color="334C65" w:sz="6" w:space="0"/>
            </w:tcBorders>
          </w:tcPr>
          <w:p>
            <w:pPr>
              <w:pStyle w:val="6"/>
              <w:spacing w:line="363" w:lineRule="exact"/>
              <w:ind w:left="639"/>
              <w:rPr>
                <w:sz w:val="32"/>
              </w:rPr>
            </w:pPr>
            <w:r>
              <w:rPr>
                <w:sz w:val="32"/>
              </w:rPr>
              <w:t>4.0</w:t>
            </w:r>
          </w:p>
          <w:p>
            <w:pPr>
              <w:pStyle w:val="6"/>
              <w:spacing w:line="416" w:lineRule="exact"/>
              <w:ind w:left="639"/>
              <w:rPr>
                <w:sz w:val="32"/>
              </w:rPr>
            </w:pPr>
            <w:r>
              <w:rPr>
                <w:sz w:val="32"/>
              </w:rPr>
              <w:t>3.7</w:t>
            </w:r>
          </w:p>
        </w:tc>
      </w:tr>
      <w:tr>
        <w:tblPrEx>
          <w:tblBorders>
            <w:top w:val="single" w:color="334C65" w:sz="12" w:space="0"/>
            <w:left w:val="single" w:color="334C65" w:sz="12" w:space="0"/>
            <w:bottom w:val="single" w:color="334C65" w:sz="12" w:space="0"/>
            <w:right w:val="single" w:color="334C65" w:sz="12" w:space="0"/>
            <w:insideH w:val="single" w:color="334C65" w:sz="12" w:space="0"/>
            <w:insideV w:val="single" w:color="334C65" w:sz="12" w:space="0"/>
          </w:tblBorders>
          <w:tblLayout w:type="fixed"/>
          <w:tblCellMar>
            <w:top w:w="0" w:type="dxa"/>
            <w:left w:w="0" w:type="dxa"/>
            <w:bottom w:w="0" w:type="dxa"/>
            <w:right w:w="0" w:type="dxa"/>
          </w:tblCellMar>
        </w:tblPrEx>
        <w:trPr>
          <w:trHeight w:val="427" w:hRule="exact"/>
        </w:trPr>
        <w:tc>
          <w:tcPr>
            <w:tcW w:w="1517" w:type="dxa"/>
            <w:tcBorders>
              <w:top w:val="double" w:color="334C65" w:sz="4" w:space="0"/>
              <w:left w:val="single" w:color="659ACC" w:sz="6" w:space="0"/>
              <w:bottom w:val="nil"/>
            </w:tcBorders>
          </w:tcPr>
          <w:p>
            <w:pPr>
              <w:pStyle w:val="6"/>
              <w:spacing w:line="364" w:lineRule="exact"/>
              <w:ind w:left="3"/>
              <w:rPr>
                <w:sz w:val="32"/>
              </w:rPr>
            </w:pPr>
            <w:r>
              <w:rPr>
                <w:sz w:val="32"/>
              </w:rPr>
              <w:t>82～84</w:t>
            </w:r>
          </w:p>
        </w:tc>
        <w:tc>
          <w:tcPr>
            <w:tcW w:w="2636" w:type="dxa"/>
            <w:tcBorders>
              <w:top w:val="double" w:color="334C65" w:sz="4" w:space="0"/>
              <w:bottom w:val="nil"/>
            </w:tcBorders>
          </w:tcPr>
          <w:p>
            <w:pPr>
              <w:pStyle w:val="6"/>
              <w:spacing w:line="364" w:lineRule="exact"/>
              <w:ind w:left="-2"/>
              <w:rPr>
                <w:sz w:val="32"/>
              </w:rPr>
            </w:pPr>
            <w:r>
              <w:rPr>
                <w:sz w:val="32"/>
              </w:rPr>
              <w:t>良（80、3.0）</w:t>
            </w:r>
          </w:p>
        </w:tc>
        <w:tc>
          <w:tcPr>
            <w:tcW w:w="2533" w:type="dxa"/>
            <w:tcBorders>
              <w:top w:val="double" w:color="334C65" w:sz="4" w:space="0"/>
              <w:bottom w:val="nil"/>
            </w:tcBorders>
          </w:tcPr>
          <w:p>
            <w:pPr>
              <w:pStyle w:val="6"/>
              <w:spacing w:line="364" w:lineRule="exact"/>
              <w:ind w:left="619" w:right="563"/>
              <w:jc w:val="center"/>
              <w:rPr>
                <w:sz w:val="32"/>
              </w:rPr>
            </w:pPr>
            <w:r>
              <w:rPr>
                <w:sz w:val="32"/>
              </w:rPr>
              <w:t>B+（83）</w:t>
            </w:r>
          </w:p>
        </w:tc>
        <w:tc>
          <w:tcPr>
            <w:tcW w:w="2011" w:type="dxa"/>
            <w:tcBorders>
              <w:top w:val="double" w:color="334C65" w:sz="4" w:space="0"/>
              <w:bottom w:val="nil"/>
              <w:right w:val="single" w:color="334C65" w:sz="6" w:space="0"/>
            </w:tcBorders>
          </w:tcPr>
          <w:p>
            <w:pPr>
              <w:pStyle w:val="6"/>
              <w:spacing w:line="364" w:lineRule="exact"/>
              <w:ind w:left="639"/>
              <w:rPr>
                <w:sz w:val="32"/>
              </w:rPr>
            </w:pPr>
            <w:r>
              <w:rPr>
                <w:sz w:val="32"/>
              </w:rPr>
              <w:t>3.3</w:t>
            </w:r>
          </w:p>
        </w:tc>
      </w:tr>
      <w:tr>
        <w:tblPrEx>
          <w:tblBorders>
            <w:top w:val="single" w:color="334C65" w:sz="12" w:space="0"/>
            <w:left w:val="single" w:color="334C65" w:sz="12" w:space="0"/>
            <w:bottom w:val="single" w:color="334C65" w:sz="12" w:space="0"/>
            <w:right w:val="single" w:color="334C65" w:sz="12" w:space="0"/>
            <w:insideH w:val="single" w:color="334C65" w:sz="12" w:space="0"/>
            <w:insideV w:val="single" w:color="334C65" w:sz="12" w:space="0"/>
          </w:tblBorders>
          <w:tblLayout w:type="fixed"/>
          <w:tblCellMar>
            <w:top w:w="0" w:type="dxa"/>
            <w:left w:w="0" w:type="dxa"/>
            <w:bottom w:w="0" w:type="dxa"/>
            <w:right w:w="0" w:type="dxa"/>
          </w:tblCellMar>
        </w:tblPrEx>
        <w:trPr>
          <w:trHeight w:val="415" w:hRule="exact"/>
        </w:trPr>
        <w:tc>
          <w:tcPr>
            <w:tcW w:w="1517" w:type="dxa"/>
            <w:tcBorders>
              <w:top w:val="nil"/>
              <w:left w:val="single" w:color="659ACC" w:sz="6" w:space="0"/>
              <w:bottom w:val="nil"/>
            </w:tcBorders>
          </w:tcPr>
          <w:p>
            <w:pPr>
              <w:pStyle w:val="6"/>
              <w:spacing w:line="368" w:lineRule="exact"/>
              <w:ind w:left="3"/>
              <w:rPr>
                <w:sz w:val="32"/>
              </w:rPr>
            </w:pPr>
            <w:r>
              <w:rPr>
                <w:sz w:val="32"/>
              </w:rPr>
              <w:t>78～81</w:t>
            </w:r>
          </w:p>
        </w:tc>
        <w:tc>
          <w:tcPr>
            <w:tcW w:w="2636" w:type="dxa"/>
            <w:tcBorders>
              <w:top w:val="nil"/>
              <w:bottom w:val="nil"/>
            </w:tcBorders>
          </w:tcPr>
          <w:p/>
        </w:tc>
        <w:tc>
          <w:tcPr>
            <w:tcW w:w="2533" w:type="dxa"/>
            <w:tcBorders>
              <w:top w:val="nil"/>
              <w:bottom w:val="nil"/>
            </w:tcBorders>
          </w:tcPr>
          <w:p>
            <w:pPr>
              <w:pStyle w:val="6"/>
              <w:spacing w:line="368" w:lineRule="exact"/>
              <w:ind w:left="619" w:right="563"/>
              <w:jc w:val="center"/>
              <w:rPr>
                <w:sz w:val="32"/>
              </w:rPr>
            </w:pPr>
            <w:r>
              <w:rPr>
                <w:sz w:val="32"/>
              </w:rPr>
              <w:t>B （80）</w:t>
            </w:r>
          </w:p>
        </w:tc>
        <w:tc>
          <w:tcPr>
            <w:tcW w:w="2011" w:type="dxa"/>
            <w:tcBorders>
              <w:top w:val="nil"/>
              <w:bottom w:val="nil"/>
              <w:right w:val="single" w:color="334C65" w:sz="6" w:space="0"/>
            </w:tcBorders>
          </w:tcPr>
          <w:p>
            <w:pPr>
              <w:pStyle w:val="6"/>
              <w:spacing w:line="368" w:lineRule="exact"/>
              <w:ind w:left="639"/>
              <w:rPr>
                <w:sz w:val="32"/>
              </w:rPr>
            </w:pPr>
            <w:r>
              <w:rPr>
                <w:sz w:val="32"/>
              </w:rPr>
              <w:t>3.0</w:t>
            </w:r>
          </w:p>
        </w:tc>
      </w:tr>
      <w:tr>
        <w:tblPrEx>
          <w:tblBorders>
            <w:top w:val="single" w:color="334C65" w:sz="12" w:space="0"/>
            <w:left w:val="single" w:color="334C65" w:sz="12" w:space="0"/>
            <w:bottom w:val="single" w:color="334C65" w:sz="12" w:space="0"/>
            <w:right w:val="single" w:color="334C65" w:sz="12" w:space="0"/>
            <w:insideH w:val="single" w:color="334C65" w:sz="12" w:space="0"/>
            <w:insideV w:val="single" w:color="334C65" w:sz="12" w:space="0"/>
          </w:tblBorders>
          <w:tblLayout w:type="fixed"/>
          <w:tblCellMar>
            <w:top w:w="0" w:type="dxa"/>
            <w:left w:w="0" w:type="dxa"/>
            <w:bottom w:w="0" w:type="dxa"/>
            <w:right w:w="0" w:type="dxa"/>
          </w:tblCellMar>
        </w:tblPrEx>
        <w:trPr>
          <w:trHeight w:val="432" w:hRule="exact"/>
        </w:trPr>
        <w:tc>
          <w:tcPr>
            <w:tcW w:w="1517" w:type="dxa"/>
            <w:tcBorders>
              <w:top w:val="nil"/>
              <w:left w:val="single" w:color="659ACC" w:sz="6" w:space="0"/>
              <w:bottom w:val="double" w:color="334C65" w:sz="4" w:space="0"/>
            </w:tcBorders>
          </w:tcPr>
          <w:p>
            <w:pPr>
              <w:pStyle w:val="6"/>
              <w:spacing w:line="368" w:lineRule="exact"/>
              <w:ind w:left="3"/>
              <w:rPr>
                <w:sz w:val="32"/>
              </w:rPr>
            </w:pPr>
            <w:r>
              <w:rPr>
                <w:sz w:val="32"/>
              </w:rPr>
              <w:t>75～77</w:t>
            </w:r>
          </w:p>
        </w:tc>
        <w:tc>
          <w:tcPr>
            <w:tcW w:w="2636" w:type="dxa"/>
            <w:tcBorders>
              <w:top w:val="nil"/>
              <w:bottom w:val="double" w:color="334C65" w:sz="4" w:space="0"/>
            </w:tcBorders>
          </w:tcPr>
          <w:p/>
        </w:tc>
        <w:tc>
          <w:tcPr>
            <w:tcW w:w="2533" w:type="dxa"/>
            <w:tcBorders>
              <w:top w:val="nil"/>
              <w:bottom w:val="double" w:color="334C65" w:sz="4" w:space="0"/>
            </w:tcBorders>
          </w:tcPr>
          <w:p>
            <w:pPr>
              <w:pStyle w:val="6"/>
              <w:spacing w:line="368" w:lineRule="exact"/>
              <w:ind w:left="619" w:right="563"/>
              <w:jc w:val="center"/>
              <w:rPr>
                <w:sz w:val="32"/>
              </w:rPr>
            </w:pPr>
            <w:r>
              <w:rPr>
                <w:sz w:val="32"/>
              </w:rPr>
              <w:t>B-（76）</w:t>
            </w:r>
          </w:p>
        </w:tc>
        <w:tc>
          <w:tcPr>
            <w:tcW w:w="2011" w:type="dxa"/>
            <w:tcBorders>
              <w:top w:val="nil"/>
              <w:bottom w:val="double" w:color="334C65" w:sz="4" w:space="0"/>
              <w:right w:val="single" w:color="334C65" w:sz="6" w:space="0"/>
            </w:tcBorders>
          </w:tcPr>
          <w:p>
            <w:pPr>
              <w:pStyle w:val="6"/>
              <w:spacing w:line="368" w:lineRule="exact"/>
              <w:ind w:left="639"/>
              <w:rPr>
                <w:sz w:val="32"/>
              </w:rPr>
            </w:pPr>
            <w:r>
              <w:rPr>
                <w:sz w:val="32"/>
              </w:rPr>
              <w:t>2.7</w:t>
            </w:r>
          </w:p>
        </w:tc>
      </w:tr>
      <w:tr>
        <w:tblPrEx>
          <w:tblBorders>
            <w:top w:val="single" w:color="334C65" w:sz="12" w:space="0"/>
            <w:left w:val="single" w:color="334C65" w:sz="12" w:space="0"/>
            <w:bottom w:val="single" w:color="334C65" w:sz="12" w:space="0"/>
            <w:right w:val="single" w:color="334C65" w:sz="12" w:space="0"/>
            <w:insideH w:val="single" w:color="334C65" w:sz="12" w:space="0"/>
            <w:insideV w:val="single" w:color="334C65" w:sz="12" w:space="0"/>
          </w:tblBorders>
          <w:tblLayout w:type="fixed"/>
          <w:tblCellMar>
            <w:top w:w="0" w:type="dxa"/>
            <w:left w:w="0" w:type="dxa"/>
            <w:bottom w:w="0" w:type="dxa"/>
            <w:right w:w="0" w:type="dxa"/>
          </w:tblCellMar>
        </w:tblPrEx>
        <w:trPr>
          <w:trHeight w:val="428" w:hRule="exact"/>
        </w:trPr>
        <w:tc>
          <w:tcPr>
            <w:tcW w:w="1517" w:type="dxa"/>
            <w:tcBorders>
              <w:top w:val="double" w:color="334C65" w:sz="4" w:space="0"/>
              <w:left w:val="single" w:color="659ACC" w:sz="6" w:space="0"/>
              <w:bottom w:val="nil"/>
            </w:tcBorders>
          </w:tcPr>
          <w:p>
            <w:pPr>
              <w:pStyle w:val="6"/>
              <w:spacing w:line="365" w:lineRule="exact"/>
              <w:ind w:left="3"/>
              <w:rPr>
                <w:sz w:val="32"/>
              </w:rPr>
            </w:pPr>
            <w:r>
              <w:rPr>
                <w:sz w:val="32"/>
              </w:rPr>
              <w:t>72～74</w:t>
            </w:r>
          </w:p>
        </w:tc>
        <w:tc>
          <w:tcPr>
            <w:tcW w:w="2636" w:type="dxa"/>
            <w:tcBorders>
              <w:top w:val="double" w:color="334C65" w:sz="4" w:space="0"/>
              <w:bottom w:val="nil"/>
            </w:tcBorders>
          </w:tcPr>
          <w:p>
            <w:pPr>
              <w:pStyle w:val="6"/>
              <w:spacing w:line="365" w:lineRule="exact"/>
              <w:ind w:left="-2"/>
              <w:rPr>
                <w:sz w:val="32"/>
              </w:rPr>
            </w:pPr>
            <w:r>
              <w:rPr>
                <w:sz w:val="32"/>
              </w:rPr>
              <w:t>中（70、2.0）</w:t>
            </w:r>
          </w:p>
        </w:tc>
        <w:tc>
          <w:tcPr>
            <w:tcW w:w="2533" w:type="dxa"/>
            <w:tcBorders>
              <w:top w:val="double" w:color="334C65" w:sz="4" w:space="0"/>
              <w:bottom w:val="nil"/>
            </w:tcBorders>
          </w:tcPr>
          <w:p>
            <w:pPr>
              <w:pStyle w:val="6"/>
              <w:spacing w:line="365" w:lineRule="exact"/>
              <w:ind w:left="619" w:right="563"/>
              <w:jc w:val="center"/>
              <w:rPr>
                <w:sz w:val="32"/>
              </w:rPr>
            </w:pPr>
            <w:r>
              <w:rPr>
                <w:sz w:val="32"/>
              </w:rPr>
              <w:t>C+（73）</w:t>
            </w:r>
          </w:p>
        </w:tc>
        <w:tc>
          <w:tcPr>
            <w:tcW w:w="2011" w:type="dxa"/>
            <w:tcBorders>
              <w:top w:val="double" w:color="334C65" w:sz="4" w:space="0"/>
              <w:bottom w:val="nil"/>
              <w:right w:val="single" w:color="334C65" w:sz="6" w:space="0"/>
            </w:tcBorders>
          </w:tcPr>
          <w:p>
            <w:pPr>
              <w:pStyle w:val="6"/>
              <w:spacing w:line="365" w:lineRule="exact"/>
              <w:ind w:left="639"/>
              <w:rPr>
                <w:sz w:val="32"/>
              </w:rPr>
            </w:pPr>
            <w:r>
              <w:rPr>
                <w:sz w:val="32"/>
              </w:rPr>
              <w:t>2.3</w:t>
            </w:r>
          </w:p>
        </w:tc>
      </w:tr>
      <w:tr>
        <w:tblPrEx>
          <w:tblBorders>
            <w:top w:val="single" w:color="334C65" w:sz="12" w:space="0"/>
            <w:left w:val="single" w:color="334C65" w:sz="12" w:space="0"/>
            <w:bottom w:val="single" w:color="334C65" w:sz="12" w:space="0"/>
            <w:right w:val="single" w:color="334C65" w:sz="12" w:space="0"/>
            <w:insideH w:val="single" w:color="334C65" w:sz="12" w:space="0"/>
            <w:insideV w:val="single" w:color="334C65" w:sz="12" w:space="0"/>
          </w:tblBorders>
          <w:tblLayout w:type="fixed"/>
          <w:tblCellMar>
            <w:top w:w="0" w:type="dxa"/>
            <w:left w:w="0" w:type="dxa"/>
            <w:bottom w:w="0" w:type="dxa"/>
            <w:right w:w="0" w:type="dxa"/>
          </w:tblCellMar>
        </w:tblPrEx>
        <w:trPr>
          <w:trHeight w:val="415" w:hRule="exact"/>
        </w:trPr>
        <w:tc>
          <w:tcPr>
            <w:tcW w:w="1517" w:type="dxa"/>
            <w:tcBorders>
              <w:top w:val="nil"/>
              <w:left w:val="single" w:color="659ACC" w:sz="6" w:space="0"/>
              <w:bottom w:val="nil"/>
            </w:tcBorders>
          </w:tcPr>
          <w:p>
            <w:pPr>
              <w:pStyle w:val="6"/>
              <w:spacing w:line="368" w:lineRule="exact"/>
              <w:ind w:left="3"/>
              <w:rPr>
                <w:sz w:val="32"/>
              </w:rPr>
            </w:pPr>
            <w:r>
              <w:rPr>
                <w:sz w:val="32"/>
              </w:rPr>
              <w:t>68～71</w:t>
            </w:r>
          </w:p>
        </w:tc>
        <w:tc>
          <w:tcPr>
            <w:tcW w:w="2636" w:type="dxa"/>
            <w:tcBorders>
              <w:top w:val="nil"/>
              <w:bottom w:val="nil"/>
            </w:tcBorders>
          </w:tcPr>
          <w:p/>
        </w:tc>
        <w:tc>
          <w:tcPr>
            <w:tcW w:w="2533" w:type="dxa"/>
            <w:tcBorders>
              <w:top w:val="nil"/>
              <w:bottom w:val="nil"/>
            </w:tcBorders>
          </w:tcPr>
          <w:p>
            <w:pPr>
              <w:pStyle w:val="6"/>
              <w:spacing w:line="368" w:lineRule="exact"/>
              <w:ind w:left="619" w:right="563"/>
              <w:jc w:val="center"/>
              <w:rPr>
                <w:sz w:val="32"/>
              </w:rPr>
            </w:pPr>
            <w:r>
              <w:rPr>
                <w:sz w:val="32"/>
              </w:rPr>
              <w:t>C （70）</w:t>
            </w:r>
          </w:p>
        </w:tc>
        <w:tc>
          <w:tcPr>
            <w:tcW w:w="2011" w:type="dxa"/>
            <w:tcBorders>
              <w:top w:val="nil"/>
              <w:bottom w:val="nil"/>
              <w:right w:val="single" w:color="334C65" w:sz="6" w:space="0"/>
            </w:tcBorders>
          </w:tcPr>
          <w:p>
            <w:pPr>
              <w:pStyle w:val="6"/>
              <w:spacing w:line="368" w:lineRule="exact"/>
              <w:ind w:left="639"/>
              <w:rPr>
                <w:sz w:val="32"/>
              </w:rPr>
            </w:pPr>
            <w:r>
              <w:rPr>
                <w:sz w:val="32"/>
              </w:rPr>
              <w:t>2.0</w:t>
            </w:r>
          </w:p>
        </w:tc>
      </w:tr>
      <w:tr>
        <w:tblPrEx>
          <w:tblBorders>
            <w:top w:val="single" w:color="334C65" w:sz="12" w:space="0"/>
            <w:left w:val="single" w:color="334C65" w:sz="12" w:space="0"/>
            <w:bottom w:val="single" w:color="334C65" w:sz="12" w:space="0"/>
            <w:right w:val="single" w:color="334C65" w:sz="12" w:space="0"/>
            <w:insideH w:val="single" w:color="334C65" w:sz="12" w:space="0"/>
            <w:insideV w:val="single" w:color="334C65" w:sz="12" w:space="0"/>
          </w:tblBorders>
          <w:tblLayout w:type="fixed"/>
          <w:tblCellMar>
            <w:top w:w="0" w:type="dxa"/>
            <w:left w:w="0" w:type="dxa"/>
            <w:bottom w:w="0" w:type="dxa"/>
            <w:right w:w="0" w:type="dxa"/>
          </w:tblCellMar>
        </w:tblPrEx>
        <w:trPr>
          <w:trHeight w:val="433" w:hRule="exact"/>
        </w:trPr>
        <w:tc>
          <w:tcPr>
            <w:tcW w:w="1517" w:type="dxa"/>
            <w:tcBorders>
              <w:top w:val="nil"/>
              <w:left w:val="single" w:color="659ACC" w:sz="6" w:space="0"/>
              <w:bottom w:val="double" w:color="334C65" w:sz="4" w:space="0"/>
            </w:tcBorders>
          </w:tcPr>
          <w:p>
            <w:pPr>
              <w:pStyle w:val="6"/>
              <w:spacing w:line="367" w:lineRule="exact"/>
              <w:ind w:left="3"/>
              <w:rPr>
                <w:sz w:val="32"/>
              </w:rPr>
            </w:pPr>
            <w:r>
              <w:rPr>
                <w:sz w:val="32"/>
              </w:rPr>
              <w:t>65～67</w:t>
            </w:r>
          </w:p>
        </w:tc>
        <w:tc>
          <w:tcPr>
            <w:tcW w:w="2636" w:type="dxa"/>
            <w:tcBorders>
              <w:top w:val="nil"/>
              <w:bottom w:val="double" w:color="334C65" w:sz="4" w:space="0"/>
            </w:tcBorders>
          </w:tcPr>
          <w:p/>
        </w:tc>
        <w:tc>
          <w:tcPr>
            <w:tcW w:w="2533" w:type="dxa"/>
            <w:tcBorders>
              <w:top w:val="nil"/>
              <w:bottom w:val="double" w:color="334C65" w:sz="4" w:space="0"/>
            </w:tcBorders>
          </w:tcPr>
          <w:p>
            <w:pPr>
              <w:pStyle w:val="6"/>
              <w:spacing w:line="367" w:lineRule="exact"/>
              <w:ind w:left="619" w:right="563"/>
              <w:jc w:val="center"/>
              <w:rPr>
                <w:sz w:val="32"/>
              </w:rPr>
            </w:pPr>
            <w:r>
              <w:rPr>
                <w:sz w:val="32"/>
              </w:rPr>
              <w:t>C-（66）</w:t>
            </w:r>
          </w:p>
        </w:tc>
        <w:tc>
          <w:tcPr>
            <w:tcW w:w="2011" w:type="dxa"/>
            <w:tcBorders>
              <w:top w:val="nil"/>
              <w:bottom w:val="double" w:color="334C65" w:sz="4" w:space="0"/>
              <w:right w:val="single" w:color="334C65" w:sz="6" w:space="0"/>
            </w:tcBorders>
          </w:tcPr>
          <w:p>
            <w:pPr>
              <w:pStyle w:val="6"/>
              <w:spacing w:line="367" w:lineRule="exact"/>
              <w:ind w:left="639"/>
              <w:rPr>
                <w:sz w:val="32"/>
              </w:rPr>
            </w:pPr>
            <w:r>
              <w:rPr>
                <w:sz w:val="32"/>
              </w:rPr>
              <w:t>1.7</w:t>
            </w:r>
          </w:p>
        </w:tc>
      </w:tr>
      <w:tr>
        <w:tblPrEx>
          <w:tblBorders>
            <w:top w:val="single" w:color="334C65" w:sz="12" w:space="0"/>
            <w:left w:val="single" w:color="334C65" w:sz="12" w:space="0"/>
            <w:bottom w:val="single" w:color="334C65" w:sz="12" w:space="0"/>
            <w:right w:val="single" w:color="334C65" w:sz="12" w:space="0"/>
            <w:insideH w:val="single" w:color="334C65" w:sz="12" w:space="0"/>
            <w:insideV w:val="single" w:color="334C65" w:sz="12" w:space="0"/>
          </w:tblBorders>
          <w:tblLayout w:type="fixed"/>
          <w:tblCellMar>
            <w:top w:w="0" w:type="dxa"/>
            <w:left w:w="0" w:type="dxa"/>
            <w:bottom w:w="0" w:type="dxa"/>
            <w:right w:w="0" w:type="dxa"/>
          </w:tblCellMar>
        </w:tblPrEx>
        <w:trPr>
          <w:trHeight w:val="859" w:hRule="exact"/>
        </w:trPr>
        <w:tc>
          <w:tcPr>
            <w:tcW w:w="1517" w:type="dxa"/>
            <w:tcBorders>
              <w:top w:val="double" w:color="334C65" w:sz="4" w:space="0"/>
              <w:left w:val="single" w:color="659ACC" w:sz="6" w:space="0"/>
              <w:bottom w:val="double" w:color="334C65" w:sz="4" w:space="0"/>
            </w:tcBorders>
          </w:tcPr>
          <w:p>
            <w:pPr>
              <w:pStyle w:val="6"/>
              <w:spacing w:line="362" w:lineRule="exact"/>
              <w:ind w:left="3"/>
              <w:rPr>
                <w:sz w:val="32"/>
              </w:rPr>
            </w:pPr>
            <w:r>
              <w:rPr>
                <w:sz w:val="32"/>
              </w:rPr>
              <w:t>62～64</w:t>
            </w:r>
          </w:p>
          <w:p>
            <w:pPr>
              <w:pStyle w:val="6"/>
              <w:spacing w:line="417" w:lineRule="exact"/>
              <w:ind w:left="3"/>
              <w:rPr>
                <w:sz w:val="32"/>
              </w:rPr>
            </w:pPr>
            <w:r>
              <w:rPr>
                <w:sz w:val="32"/>
              </w:rPr>
              <w:t>60～61</w:t>
            </w:r>
          </w:p>
        </w:tc>
        <w:tc>
          <w:tcPr>
            <w:tcW w:w="2636" w:type="dxa"/>
            <w:tcBorders>
              <w:top w:val="double" w:color="334C65" w:sz="4" w:space="0"/>
              <w:bottom w:val="double" w:color="334C65" w:sz="4" w:space="0"/>
            </w:tcBorders>
          </w:tcPr>
          <w:p>
            <w:pPr>
              <w:pStyle w:val="6"/>
              <w:spacing w:before="153"/>
              <w:ind w:left="-2"/>
              <w:rPr>
                <w:sz w:val="32"/>
              </w:rPr>
            </w:pPr>
            <w:r>
              <w:rPr>
                <w:sz w:val="32"/>
              </w:rPr>
              <w:t>及格（60、1.0）</w:t>
            </w:r>
          </w:p>
        </w:tc>
        <w:tc>
          <w:tcPr>
            <w:tcW w:w="2533" w:type="dxa"/>
            <w:tcBorders>
              <w:top w:val="double" w:color="334C65" w:sz="4" w:space="0"/>
              <w:bottom w:val="double" w:color="334C65" w:sz="4" w:space="0"/>
            </w:tcBorders>
          </w:tcPr>
          <w:p>
            <w:pPr>
              <w:pStyle w:val="6"/>
              <w:spacing w:line="362" w:lineRule="exact"/>
              <w:ind w:left="639"/>
              <w:rPr>
                <w:sz w:val="32"/>
              </w:rPr>
            </w:pPr>
            <w:r>
              <w:rPr>
                <w:sz w:val="32"/>
              </w:rPr>
              <w:t>D+（63）</w:t>
            </w:r>
          </w:p>
          <w:p>
            <w:pPr>
              <w:pStyle w:val="6"/>
              <w:spacing w:line="417" w:lineRule="exact"/>
              <w:ind w:left="639"/>
              <w:rPr>
                <w:sz w:val="32"/>
              </w:rPr>
            </w:pPr>
            <w:r>
              <w:rPr>
                <w:sz w:val="32"/>
              </w:rPr>
              <w:t>D （60）</w:t>
            </w:r>
          </w:p>
        </w:tc>
        <w:tc>
          <w:tcPr>
            <w:tcW w:w="2011" w:type="dxa"/>
            <w:tcBorders>
              <w:top w:val="double" w:color="334C65" w:sz="4" w:space="0"/>
              <w:bottom w:val="double" w:color="334C65" w:sz="4" w:space="0"/>
              <w:right w:val="single" w:color="334C65" w:sz="6" w:space="0"/>
            </w:tcBorders>
          </w:tcPr>
          <w:p>
            <w:pPr>
              <w:pStyle w:val="6"/>
              <w:spacing w:line="362" w:lineRule="exact"/>
              <w:ind w:left="639"/>
              <w:rPr>
                <w:sz w:val="32"/>
              </w:rPr>
            </w:pPr>
            <w:r>
              <w:rPr>
                <w:sz w:val="32"/>
              </w:rPr>
              <w:t>1.3</w:t>
            </w:r>
          </w:p>
          <w:p>
            <w:pPr>
              <w:pStyle w:val="6"/>
              <w:spacing w:line="417" w:lineRule="exact"/>
              <w:ind w:left="639"/>
              <w:rPr>
                <w:sz w:val="32"/>
              </w:rPr>
            </w:pPr>
            <w:r>
              <w:rPr>
                <w:sz w:val="32"/>
              </w:rPr>
              <w:t>1.0</w:t>
            </w:r>
          </w:p>
        </w:tc>
      </w:tr>
      <w:tr>
        <w:tblPrEx>
          <w:tblBorders>
            <w:top w:val="single" w:color="334C65" w:sz="12" w:space="0"/>
            <w:left w:val="single" w:color="334C65" w:sz="12" w:space="0"/>
            <w:bottom w:val="single" w:color="334C65" w:sz="12" w:space="0"/>
            <w:right w:val="single" w:color="334C65" w:sz="12" w:space="0"/>
            <w:insideH w:val="single" w:color="334C65" w:sz="12" w:space="0"/>
            <w:insideV w:val="single" w:color="334C65" w:sz="12" w:space="0"/>
          </w:tblBorders>
          <w:tblLayout w:type="fixed"/>
          <w:tblCellMar>
            <w:top w:w="0" w:type="dxa"/>
            <w:left w:w="0" w:type="dxa"/>
            <w:bottom w:w="0" w:type="dxa"/>
            <w:right w:w="0" w:type="dxa"/>
          </w:tblCellMar>
        </w:tblPrEx>
        <w:trPr>
          <w:trHeight w:val="446" w:hRule="exact"/>
        </w:trPr>
        <w:tc>
          <w:tcPr>
            <w:tcW w:w="1517" w:type="dxa"/>
            <w:tcBorders>
              <w:top w:val="double" w:color="334C65" w:sz="4" w:space="0"/>
              <w:left w:val="single" w:color="659ACC" w:sz="6" w:space="0"/>
            </w:tcBorders>
          </w:tcPr>
          <w:p>
            <w:pPr>
              <w:pStyle w:val="6"/>
              <w:spacing w:line="365" w:lineRule="exact"/>
              <w:ind w:left="3"/>
              <w:rPr>
                <w:sz w:val="32"/>
              </w:rPr>
            </w:pPr>
            <w:r>
              <w:rPr>
                <w:sz w:val="32"/>
              </w:rPr>
              <w:t>&lt; 60</w:t>
            </w:r>
          </w:p>
        </w:tc>
        <w:tc>
          <w:tcPr>
            <w:tcW w:w="2636" w:type="dxa"/>
            <w:tcBorders>
              <w:top w:val="double" w:color="334C65" w:sz="4" w:space="0"/>
            </w:tcBorders>
          </w:tcPr>
          <w:p>
            <w:pPr>
              <w:pStyle w:val="6"/>
              <w:spacing w:line="365" w:lineRule="exact"/>
              <w:ind w:left="-2"/>
              <w:rPr>
                <w:sz w:val="32"/>
              </w:rPr>
            </w:pPr>
            <w:r>
              <w:rPr>
                <w:sz w:val="32"/>
              </w:rPr>
              <w:t>不及格（45）</w:t>
            </w:r>
          </w:p>
        </w:tc>
        <w:tc>
          <w:tcPr>
            <w:tcW w:w="2533" w:type="dxa"/>
            <w:tcBorders>
              <w:top w:val="double" w:color="334C65" w:sz="4" w:space="0"/>
            </w:tcBorders>
          </w:tcPr>
          <w:p>
            <w:pPr>
              <w:pStyle w:val="6"/>
              <w:spacing w:line="365" w:lineRule="exact"/>
              <w:ind w:left="619" w:right="563"/>
              <w:jc w:val="center"/>
              <w:rPr>
                <w:sz w:val="32"/>
              </w:rPr>
            </w:pPr>
            <w:r>
              <w:rPr>
                <w:sz w:val="32"/>
              </w:rPr>
              <w:t>E （45）</w:t>
            </w:r>
          </w:p>
        </w:tc>
        <w:tc>
          <w:tcPr>
            <w:tcW w:w="2011" w:type="dxa"/>
            <w:tcBorders>
              <w:top w:val="double" w:color="334C65" w:sz="4" w:space="0"/>
              <w:right w:val="single" w:color="334C65" w:sz="6" w:space="0"/>
            </w:tcBorders>
          </w:tcPr>
          <w:p>
            <w:pPr>
              <w:pStyle w:val="6"/>
              <w:spacing w:line="365" w:lineRule="exact"/>
              <w:ind w:left="640"/>
              <w:rPr>
                <w:sz w:val="32"/>
              </w:rPr>
            </w:pPr>
            <w:r>
              <w:rPr>
                <w:sz w:val="32"/>
              </w:rPr>
              <w:t>0</w:t>
            </w:r>
          </w:p>
        </w:tc>
      </w:tr>
    </w:tbl>
    <w:p>
      <w:pPr>
        <w:pStyle w:val="2"/>
        <w:spacing w:before="72"/>
        <w:ind w:left="861"/>
        <w:rPr>
          <w:lang w:eastAsia="zh-CN"/>
        </w:rPr>
      </w:pPr>
      <w:r>
        <w:rPr>
          <w:lang w:eastAsia="zh-CN"/>
        </w:rPr>
        <w:t>平均学分绩点可按下式计算：</w:t>
      </w:r>
    </w:p>
    <w:p>
      <w:pPr>
        <w:rPr>
          <w:lang w:eastAsia="zh-CN"/>
        </w:rPr>
        <w:sectPr>
          <w:pgSz w:w="11910" w:h="16840"/>
          <w:pgMar w:top="1080" w:right="1480" w:bottom="1400" w:left="1480" w:header="893" w:footer="1145" w:gutter="0"/>
          <w:cols w:space="720" w:num="1"/>
        </w:sectPr>
      </w:pPr>
    </w:p>
    <w:p>
      <w:pPr>
        <w:spacing w:before="167"/>
        <w:ind w:left="890"/>
        <w:rPr>
          <w:rFonts w:ascii="Symbol" w:hAnsi="Symbol"/>
          <w:sz w:val="24"/>
          <w:lang w:eastAsia="zh-CN"/>
        </w:rPr>
      </w:pPr>
      <w:r>
        <w:rPr>
          <w:sz w:val="24"/>
          <w:lang w:eastAsia="zh-CN"/>
        </w:rPr>
        <w:t>平均学分绩点</w:t>
      </w:r>
      <w:r>
        <w:rPr>
          <w:rFonts w:ascii="Symbol" w:hAnsi="Symbol"/>
          <w:sz w:val="24"/>
          <w:lang w:eastAsia="zh-CN"/>
        </w:rPr>
        <w:t></w:t>
      </w:r>
    </w:p>
    <w:p>
      <w:pPr>
        <w:spacing w:before="16"/>
        <w:ind w:left="70"/>
        <w:rPr>
          <w:sz w:val="24"/>
          <w:lang w:eastAsia="zh-CN"/>
        </w:rPr>
      </w:pPr>
      <w:r>
        <w:rPr>
          <w:lang w:eastAsia="zh-CN"/>
        </w:rPr>
        <w:br w:type="column"/>
      </w:r>
      <w:r>
        <w:rPr>
          <w:rFonts w:ascii="Symbol" w:hAnsi="Symbol" w:eastAsia="Symbol"/>
          <w:sz w:val="24"/>
          <w:lang w:eastAsia="zh-CN"/>
        </w:rPr>
        <w:t></w:t>
      </w:r>
      <w:r>
        <w:rPr>
          <w:sz w:val="24"/>
          <w:lang w:eastAsia="zh-CN"/>
        </w:rPr>
        <w:t>课程学分</w:t>
      </w:r>
      <w:r>
        <w:rPr>
          <w:rFonts w:ascii="Symbol" w:hAnsi="Symbol" w:eastAsia="Symbol"/>
          <w:sz w:val="24"/>
          <w:lang w:eastAsia="zh-CN"/>
        </w:rPr>
        <w:t></w:t>
      </w:r>
      <w:r>
        <w:rPr>
          <w:rFonts w:ascii="Times New Roman" w:hAnsi="Times New Roman" w:eastAsia="Times New Roman"/>
          <w:sz w:val="24"/>
          <w:lang w:eastAsia="zh-CN"/>
        </w:rPr>
        <w:t xml:space="preserve"> </w:t>
      </w:r>
      <w:r>
        <w:rPr>
          <w:sz w:val="24"/>
          <w:lang w:eastAsia="zh-CN"/>
        </w:rPr>
        <w:t>课程绩点</w:t>
      </w:r>
    </w:p>
    <w:p>
      <w:pPr>
        <w:pStyle w:val="2"/>
        <w:spacing w:before="7"/>
        <w:rPr>
          <w:sz w:val="2"/>
          <w:lang w:eastAsia="zh-CN"/>
        </w:rPr>
      </w:pPr>
    </w:p>
    <w:p>
      <w:pPr>
        <w:pStyle w:val="2"/>
        <w:spacing w:line="20" w:lineRule="exact"/>
        <w:ind w:left="21"/>
        <w:rPr>
          <w:sz w:val="2"/>
        </w:rPr>
      </w:pPr>
      <w:r>
        <w:rPr>
          <w:sz w:val="2"/>
        </w:rPr>
        <mc:AlternateContent>
          <mc:Choice Requires="wpg">
            <w:drawing>
              <wp:inline distT="0" distB="0" distL="114300" distR="114300">
                <wp:extent cx="1520825" cy="6350"/>
                <wp:effectExtent l="0" t="0" r="0" b="0"/>
                <wp:docPr id="4" name="组合 2"/>
                <wp:cNvGraphicFramePr/>
                <a:graphic xmlns:a="http://schemas.openxmlformats.org/drawingml/2006/main">
                  <a:graphicData uri="http://schemas.microsoft.com/office/word/2010/wordprocessingGroup">
                    <wpg:wgp>
                      <wpg:cNvGrpSpPr/>
                      <wpg:grpSpPr>
                        <a:xfrm>
                          <a:off x="0" y="0"/>
                          <a:ext cx="1520825" cy="6350"/>
                          <a:chOff x="0" y="0"/>
                          <a:chExt cx="2395" cy="10"/>
                        </a:xfrm>
                      </wpg:grpSpPr>
                      <wps:wsp>
                        <wps:cNvPr id="3" name="直线 3"/>
                        <wps:cNvSpPr/>
                        <wps:spPr>
                          <a:xfrm>
                            <a:off x="5" y="5"/>
                            <a:ext cx="2384" cy="0"/>
                          </a:xfrm>
                          <a:prstGeom prst="line">
                            <a:avLst/>
                          </a:prstGeom>
                          <a:ln w="6337" cap="flat" cmpd="sng">
                            <a:solidFill>
                              <a:srgbClr val="000000"/>
                            </a:solidFill>
                            <a:prstDash val="solid"/>
                            <a:headEnd type="none" w="med" len="med"/>
                            <a:tailEnd type="none" w="med" len="med"/>
                          </a:ln>
                        </wps:spPr>
                        <wps:bodyPr upright="1"/>
                      </wps:wsp>
                    </wpg:wgp>
                  </a:graphicData>
                </a:graphic>
              </wp:inline>
            </w:drawing>
          </mc:Choice>
          <mc:Fallback>
            <w:pict>
              <v:group id="组合 2" o:spid="_x0000_s1026" o:spt="203" style="height:0.5pt;width:119.75pt;" coordsize="2395,10" o:gfxdata="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YbIIm1AAAAAMBAAAPAAAAAAAAAAEAIAAAACIAAABkcnMvZG93bnJldi54bWxQ&#10;SwECFAAUAAAACACHTuJAiF2taTQCAACwBAAADgAAAAAAAAABACAAAAAjAQAAZHJzL2Uyb0RvYy54&#10;bWxQSwUGAAAAAAYABgBZAQAAyQUAAAAA&#10;">
                <o:lock v:ext="edit" aspectratio="f"/>
                <v:line id="直线 3" o:spid="_x0000_s1026" o:spt="20" style="position:absolute;left:5;top:5;height:0;width:2384;" filled="f" stroked="t" coordsize="21600,21600" o:gfxdata="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aeDJztwAAANoAAAAP&#10;AAAAAAAAAAEAIAAAACIAAABkcnMvZG93bnJldi54bWxQSwECFAAUAAAACACHTuJAMy8FnjsAAAA5&#10;AAAAEAAAAAAAAAABACAAAAAGAQAAZHJzL3NoYXBleG1sLnhtbFBLBQYAAAAABgAGAFsBAACwAwAA&#10;AAA=&#10;">
                  <v:fill on="f" focussize="0,0"/>
                  <v:stroke weight="0.498976377952756pt" color="#000000" joinstyle="round"/>
                  <v:imagedata o:title=""/>
                  <o:lock v:ext="edit" aspectratio="f"/>
                </v:line>
                <w10:wrap type="none"/>
                <w10:anchorlock/>
              </v:group>
            </w:pict>
          </mc:Fallback>
        </mc:AlternateContent>
      </w:r>
    </w:p>
    <w:p>
      <w:pPr>
        <w:ind w:left="43"/>
        <w:rPr>
          <w:sz w:val="24"/>
          <w:lang w:eastAsia="zh-CN"/>
        </w:rPr>
      </w:pPr>
      <w:r>
        <w:rPr>
          <w:rFonts w:ascii="Symbol" w:hAnsi="Symbol" w:eastAsia="Symbol"/>
          <w:sz w:val="24"/>
          <w:lang w:eastAsia="zh-CN"/>
        </w:rPr>
        <w:t></w:t>
      </w:r>
      <w:r>
        <w:rPr>
          <w:sz w:val="24"/>
          <w:lang w:eastAsia="zh-CN"/>
        </w:rPr>
        <w:t>参与计算的课程学分</w:t>
      </w:r>
    </w:p>
    <w:p>
      <w:pPr>
        <w:rPr>
          <w:sz w:val="24"/>
          <w:lang w:eastAsia="zh-CN"/>
        </w:rPr>
        <w:sectPr>
          <w:type w:val="continuous"/>
          <w:pgSz w:w="11910" w:h="16840"/>
          <w:pgMar w:top="1600" w:right="1480" w:bottom="280" w:left="1480" w:header="720" w:footer="720" w:gutter="0"/>
          <w:cols w:equalWidth="0" w:num="2">
            <w:col w:w="2511" w:space="40"/>
            <w:col w:w="6399"/>
          </w:cols>
        </w:sectPr>
      </w:pPr>
    </w:p>
    <w:p>
      <w:pPr>
        <w:pStyle w:val="2"/>
        <w:spacing w:before="92"/>
        <w:ind w:left="861"/>
        <w:rPr>
          <w:lang w:eastAsia="zh-CN"/>
        </w:rPr>
      </w:pPr>
      <w:r>
        <w:rPr>
          <w:lang w:eastAsia="zh-CN"/>
        </w:rPr>
        <w:t>当学期的重考、重修课程，及下学期开学初补考合格的</w:t>
      </w:r>
    </w:p>
    <w:p>
      <w:pPr>
        <w:pStyle w:val="2"/>
        <w:spacing w:before="121"/>
        <w:ind w:left="221"/>
        <w:rPr>
          <w:lang w:eastAsia="zh-CN"/>
        </w:rPr>
      </w:pPr>
      <w:r>
        <w:rPr>
          <w:lang w:eastAsia="zh-CN"/>
        </w:rPr>
        <w:t>（代替正考成绩）课程均参与计算。</w:t>
      </w:r>
    </w:p>
    <w:p>
      <w:pPr>
        <w:pStyle w:val="2"/>
        <w:spacing w:before="121" w:line="309" w:lineRule="auto"/>
        <w:ind w:left="221" w:right="313" w:firstLine="639"/>
        <w:jc w:val="both"/>
        <w:rPr>
          <w:lang w:eastAsia="zh-CN"/>
        </w:rPr>
      </w:pPr>
      <w:r>
        <w:rPr>
          <w:lang w:eastAsia="zh-CN"/>
        </w:rPr>
        <w:t>以平均学分绩点和学习课程的总学分两项作为衡量学生学习质量的重要指标，一学期核算一次。学习课程的总学分和平均学分绩点作为评优和升学的重要依据。</w:t>
      </w:r>
    </w:p>
    <w:p>
      <w:pPr>
        <w:pStyle w:val="2"/>
        <w:spacing w:before="28" w:line="309" w:lineRule="auto"/>
        <w:ind w:left="221" w:right="317" w:firstLine="639"/>
        <w:jc w:val="both"/>
        <w:rPr>
          <w:lang w:eastAsia="zh-CN"/>
        </w:rPr>
      </w:pPr>
      <w:r>
        <w:rPr>
          <w:lang w:eastAsia="zh-CN"/>
        </w:rPr>
        <w:t>第二十一条 公共体育课为必修课，不合格者应重修或补修，体育成绩要根据考勤、课内教学和课外锻炼等进行综合评定。对不同体质的学生应有不同的要求，因患有某些疾病或有生理缺陷的学生，由本人申请，二级甲等以上医院证明，经体育教研部研究，公共教学部同意，教务处批准，可调整该生体育锻炼和考核项目，考核及格可获得相应学分。其材料应存入学院文书和学生档案。</w:t>
      </w:r>
    </w:p>
    <w:p>
      <w:pPr>
        <w:spacing w:line="309" w:lineRule="auto"/>
        <w:jc w:val="both"/>
        <w:rPr>
          <w:lang w:eastAsia="zh-CN"/>
        </w:rPr>
        <w:sectPr>
          <w:type w:val="continuous"/>
          <w:pgSz w:w="11910" w:h="16840"/>
          <w:pgMar w:top="1600" w:right="1480" w:bottom="280" w:left="1480" w:header="720" w:footer="720" w:gutter="0"/>
          <w:cols w:space="720" w:num="1"/>
        </w:sectPr>
      </w:pPr>
    </w:p>
    <w:p>
      <w:pPr>
        <w:pStyle w:val="2"/>
        <w:rPr>
          <w:sz w:val="20"/>
          <w:lang w:eastAsia="zh-CN"/>
        </w:rPr>
      </w:pPr>
    </w:p>
    <w:p>
      <w:pPr>
        <w:pStyle w:val="2"/>
        <w:rPr>
          <w:sz w:val="20"/>
          <w:lang w:eastAsia="zh-CN"/>
        </w:rPr>
      </w:pPr>
    </w:p>
    <w:p>
      <w:pPr>
        <w:pStyle w:val="2"/>
        <w:spacing w:before="157" w:line="309" w:lineRule="auto"/>
        <w:ind w:left="141" w:right="237" w:firstLine="639"/>
        <w:jc w:val="both"/>
        <w:rPr>
          <w:lang w:eastAsia="zh-CN"/>
        </w:rPr>
      </w:pPr>
      <w:r>
        <w:rPr>
          <w:lang w:eastAsia="zh-CN"/>
        </w:rPr>
        <w:t>第二十二条 《英语》为公共必修课，为鼓励优秀学生脱颖而出，学生入学后可以在每学期参加由学院或上级教育行政部门组织的“大学生英语能力”水平考试，通过者，可免修该课程，即可获得《英语》课程所规定的全部学分和绩</w:t>
      </w:r>
      <w:r>
        <w:rPr>
          <w:spacing w:val="-5"/>
          <w:lang w:eastAsia="zh-CN"/>
        </w:rPr>
        <w:t xml:space="preserve">点。在校期间通过全国 </w:t>
      </w:r>
      <w:r>
        <w:rPr>
          <w:lang w:eastAsia="zh-CN"/>
        </w:rPr>
        <w:t>CET-4</w:t>
      </w:r>
      <w:r>
        <w:rPr>
          <w:spacing w:val="-7"/>
          <w:lang w:eastAsia="zh-CN"/>
        </w:rPr>
        <w:t xml:space="preserve"> 考试的学生，同样可免修该课</w:t>
      </w:r>
      <w:r>
        <w:rPr>
          <w:spacing w:val="-13"/>
          <w:lang w:eastAsia="zh-CN"/>
        </w:rPr>
        <w:t xml:space="preserve">程并获得全部学分，课程成绩按 </w:t>
      </w:r>
      <w:r>
        <w:rPr>
          <w:lang w:eastAsia="zh-CN"/>
        </w:rPr>
        <w:t>4</w:t>
      </w:r>
      <w:r>
        <w:rPr>
          <w:spacing w:val="-14"/>
          <w:lang w:eastAsia="zh-CN"/>
        </w:rPr>
        <w:t xml:space="preserve"> 个绩点记载。</w:t>
      </w:r>
    </w:p>
    <w:p>
      <w:pPr>
        <w:pStyle w:val="2"/>
        <w:spacing w:before="28" w:line="309" w:lineRule="auto"/>
        <w:ind w:left="141" w:right="237" w:firstLine="639"/>
        <w:jc w:val="both"/>
        <w:rPr>
          <w:lang w:eastAsia="zh-CN"/>
        </w:rPr>
      </w:pPr>
      <w:r>
        <w:rPr>
          <w:lang w:eastAsia="zh-CN"/>
        </w:rPr>
        <w:t>第二十三条 凡修完《计算机基础》课程的学生，必须参加全省高校非计算机专业计算机等级一级无纸化考试，一级考试成绩作为课程结束考试成绩，学院不另行出卷。不及格的，须再次参加考试，直至成绩及格。</w:t>
      </w:r>
    </w:p>
    <w:p>
      <w:pPr>
        <w:pStyle w:val="2"/>
        <w:spacing w:before="28" w:line="309" w:lineRule="auto"/>
        <w:ind w:left="141" w:right="236" w:firstLine="639"/>
        <w:jc w:val="both"/>
        <w:rPr>
          <w:lang w:eastAsia="zh-CN"/>
        </w:rPr>
      </w:pPr>
      <w:r>
        <w:rPr>
          <w:lang w:eastAsia="zh-CN"/>
        </w:rPr>
        <w:t>第二十四条 必修课考核不及格(未达到退学规定)者可参加一次补考，若补考还不及格，需重修该门课程。</w:t>
      </w:r>
    </w:p>
    <w:p>
      <w:pPr>
        <w:pStyle w:val="2"/>
        <w:spacing w:before="28" w:line="309" w:lineRule="auto"/>
        <w:ind w:left="141" w:right="237" w:firstLine="639"/>
        <w:jc w:val="both"/>
        <w:rPr>
          <w:lang w:eastAsia="zh-CN"/>
        </w:rPr>
      </w:pPr>
      <w:r>
        <w:rPr>
          <w:lang w:eastAsia="zh-CN"/>
        </w:rPr>
        <w:t>第二十五条 缺交课程平时作业达三分之一以上和不参加实验的学生或无故旷课达该课程教学时数三分之一以上， 不得参加该课程的期终考试或不予评定该课程的学期考查成绩。属必修或专业限选的课程应重修，属选修的课程应重修或改修其它课程。</w:t>
      </w:r>
    </w:p>
    <w:p>
      <w:pPr>
        <w:pStyle w:val="2"/>
        <w:spacing w:before="28" w:line="309" w:lineRule="auto"/>
        <w:ind w:left="141" w:right="237" w:firstLine="639"/>
        <w:jc w:val="both"/>
        <w:rPr>
          <w:lang w:eastAsia="zh-CN"/>
        </w:rPr>
      </w:pPr>
      <w:r>
        <w:rPr>
          <w:lang w:eastAsia="zh-CN"/>
        </w:rPr>
        <w:t>第二十六条 一般不准办理缓考。若确因特殊原因（因病需持医院证明）不能参加考试的学生，应在考试开始前三天出具有关证明，向所在系提出书面缓考申请，经辅导员核实、系主任审核，教务处批准方可缓考，事后补办无效（不可克服的特殊情况例外）。缓考可安排在补考、重考或重修课程考核时进行，仍按正常考核评定成绩。凡擅自缺考，该课程以零分计，不能参加正常补考，视课程类型须重修或改修其它课程。</w:t>
      </w:r>
    </w:p>
    <w:p>
      <w:pPr>
        <w:spacing w:line="309" w:lineRule="auto"/>
        <w:jc w:val="both"/>
        <w:rPr>
          <w:lang w:eastAsia="zh-CN"/>
        </w:rPr>
        <w:sectPr>
          <w:pgSz w:w="11910" w:h="16840"/>
          <w:pgMar w:top="1080" w:right="1560" w:bottom="1400" w:left="1560" w:header="893" w:footer="1145" w:gutter="0"/>
          <w:cols w:space="720" w:num="1"/>
        </w:sectPr>
      </w:pPr>
    </w:p>
    <w:p>
      <w:pPr>
        <w:pStyle w:val="2"/>
        <w:rPr>
          <w:sz w:val="20"/>
          <w:lang w:eastAsia="zh-CN"/>
        </w:rPr>
      </w:pPr>
    </w:p>
    <w:p>
      <w:pPr>
        <w:pStyle w:val="2"/>
        <w:rPr>
          <w:sz w:val="20"/>
          <w:lang w:eastAsia="zh-CN"/>
        </w:rPr>
      </w:pPr>
    </w:p>
    <w:p>
      <w:pPr>
        <w:pStyle w:val="2"/>
        <w:spacing w:before="157" w:line="309" w:lineRule="auto"/>
        <w:ind w:left="141" w:right="257" w:firstLine="639"/>
        <w:jc w:val="both"/>
        <w:rPr>
          <w:lang w:eastAsia="zh-CN"/>
        </w:rPr>
      </w:pPr>
      <w:r>
        <w:rPr>
          <w:lang w:eastAsia="zh-CN"/>
        </w:rPr>
        <w:t>第二十七条 学生严重违反考试纪律或者作弊的，该课</w:t>
      </w:r>
      <w:r>
        <w:rPr>
          <w:spacing w:val="-4"/>
          <w:lang w:eastAsia="zh-CN"/>
        </w:rPr>
        <w:t>程考试成绩无效(在学籍处理时按“</w:t>
      </w:r>
      <w:r>
        <w:rPr>
          <w:spacing w:val="-10"/>
          <w:lang w:eastAsia="zh-CN"/>
        </w:rPr>
        <w:t>0</w:t>
      </w:r>
      <w:r>
        <w:rPr>
          <w:spacing w:val="-7"/>
          <w:lang w:eastAsia="zh-CN"/>
        </w:rPr>
        <w:t>”分记入)，并视其违纪或者作弊情节，给予批评教育和相应的纪律处分</w:t>
      </w:r>
      <w:r>
        <w:rPr>
          <w:lang w:eastAsia="zh-CN"/>
        </w:rPr>
        <w:t>（具体按照</w:t>
      </w:r>
      <w:r>
        <w:rPr>
          <w:spacing w:val="-8"/>
          <w:lang w:eastAsia="zh-CN"/>
        </w:rPr>
        <w:t>学院“学生考试违纪作弊认定及处理办法”处理</w:t>
      </w:r>
      <w:r>
        <w:rPr>
          <w:spacing w:val="-161"/>
          <w:lang w:eastAsia="zh-CN"/>
        </w:rPr>
        <w:t>）</w:t>
      </w:r>
      <w:r>
        <w:rPr>
          <w:spacing w:val="-7"/>
          <w:lang w:eastAsia="zh-CN"/>
        </w:rPr>
        <w:t>。给予纪律处分的，不能参加正常的补考，经教育表现较好，在毕业前</w:t>
      </w:r>
      <w:r>
        <w:rPr>
          <w:spacing w:val="-1"/>
          <w:lang w:eastAsia="zh-CN"/>
        </w:rPr>
        <w:t>对该课程可以给予重修补考机会。</w:t>
      </w:r>
    </w:p>
    <w:p>
      <w:pPr>
        <w:pStyle w:val="2"/>
        <w:spacing w:before="28" w:line="309" w:lineRule="auto"/>
        <w:ind w:left="141" w:right="257" w:firstLine="639"/>
        <w:jc w:val="both"/>
        <w:rPr>
          <w:lang w:eastAsia="zh-CN"/>
        </w:rPr>
      </w:pPr>
      <w:r>
        <w:rPr>
          <w:lang w:eastAsia="zh-CN"/>
        </w:rPr>
        <w:t>第二十八条 学生重修或改修课程后，在期末可再申请参加一次考试，若仍不及格，不再补考。视课程性质须再次重修或改修该课程。</w:t>
      </w:r>
    </w:p>
    <w:p>
      <w:pPr>
        <w:pStyle w:val="2"/>
        <w:spacing w:before="28" w:line="309" w:lineRule="auto"/>
        <w:ind w:left="141" w:right="254" w:firstLine="639"/>
        <w:jc w:val="both"/>
        <w:rPr>
          <w:lang w:eastAsia="zh-CN"/>
        </w:rPr>
      </w:pPr>
      <w:r>
        <w:rPr>
          <w:spacing w:val="9"/>
          <w:lang w:eastAsia="zh-CN"/>
        </w:rPr>
        <w:t>第二十九条 课程总评成绩不及格的学生学院每一学期</w:t>
      </w:r>
      <w:r>
        <w:rPr>
          <w:lang w:eastAsia="zh-CN"/>
        </w:rPr>
        <w:t>安排一次补考，补考总评及格者给予应得的学分。补考及重</w:t>
      </w:r>
      <w:r>
        <w:rPr>
          <w:spacing w:val="-15"/>
          <w:lang w:eastAsia="zh-CN"/>
        </w:rPr>
        <w:t>修课程的成绩按实际成绩记载，并注明“补考”、“重修”字</w:t>
      </w:r>
      <w:r>
        <w:rPr>
          <w:lang w:eastAsia="zh-CN"/>
        </w:rPr>
        <w:t>样，对外公布和学分绩点按及格计算。补考时间安排在开学</w:t>
      </w:r>
      <w:r>
        <w:rPr>
          <w:spacing w:val="-1"/>
          <w:lang w:eastAsia="zh-CN"/>
        </w:rPr>
        <w:t>后二周内进行。</w:t>
      </w:r>
    </w:p>
    <w:p>
      <w:pPr>
        <w:pStyle w:val="2"/>
        <w:tabs>
          <w:tab w:val="left" w:pos="2381"/>
        </w:tabs>
        <w:spacing w:before="28" w:line="309" w:lineRule="auto"/>
        <w:ind w:left="781" w:right="661"/>
        <w:rPr>
          <w:lang w:eastAsia="zh-CN"/>
        </w:rPr>
      </w:pPr>
      <w:r>
        <w:rPr>
          <w:spacing w:val="-1"/>
          <w:lang w:eastAsia="zh-CN"/>
        </w:rPr>
        <w:t>五、课程选修、免修</w:t>
      </w:r>
      <w:r>
        <w:rPr>
          <w:lang w:eastAsia="zh-CN"/>
        </w:rPr>
        <w:t>（免听）、重修、重考、缓考、第三十条</w:t>
      </w:r>
      <w:r>
        <w:rPr>
          <w:lang w:eastAsia="zh-CN"/>
        </w:rPr>
        <w:tab/>
      </w:r>
      <w:r>
        <w:rPr>
          <w:spacing w:val="-1"/>
          <w:lang w:eastAsia="zh-CN"/>
        </w:rPr>
        <w:t>课程的选修</w:t>
      </w:r>
    </w:p>
    <w:p>
      <w:pPr>
        <w:pStyle w:val="2"/>
        <w:spacing w:before="28"/>
        <w:ind w:left="781"/>
        <w:rPr>
          <w:lang w:eastAsia="zh-CN"/>
        </w:rPr>
      </w:pPr>
      <w:r>
        <w:rPr>
          <w:lang w:eastAsia="zh-CN"/>
        </w:rPr>
        <w:t>（一）选课原则</w:t>
      </w:r>
    </w:p>
    <w:p>
      <w:pPr>
        <w:pStyle w:val="2"/>
        <w:spacing w:before="120" w:line="309" w:lineRule="auto"/>
        <w:ind w:left="141" w:right="170" w:firstLine="639"/>
        <w:rPr>
          <w:lang w:eastAsia="zh-CN"/>
        </w:rPr>
      </w:pPr>
      <w:r>
        <w:rPr>
          <w:lang w:eastAsia="zh-CN"/>
        </w:rPr>
        <w:t>1</w:t>
      </w:r>
      <w:r>
        <w:rPr>
          <w:spacing w:val="1"/>
          <w:lang w:eastAsia="zh-CN"/>
        </w:rPr>
        <w:t>.学生选课必须以本专业教学计划为依据，选课前要认</w:t>
      </w:r>
      <w:r>
        <w:rPr>
          <w:lang w:eastAsia="zh-CN"/>
        </w:rPr>
        <w:t>真研究、学习本专业教学计划，不应选修本专业教学计划规</w:t>
      </w:r>
      <w:r>
        <w:rPr>
          <w:spacing w:val="-10"/>
          <w:lang w:eastAsia="zh-CN"/>
        </w:rPr>
        <w:t xml:space="preserve">定的必修课、已选学过的课程内容相同的全院性公共选修课； </w:t>
      </w:r>
      <w:r>
        <w:rPr>
          <w:spacing w:val="-9"/>
          <w:lang w:eastAsia="zh-CN"/>
        </w:rPr>
        <w:t>必须修满教学计划中规定的各类课程的学分，注意自己的选</w:t>
      </w:r>
      <w:r>
        <w:rPr>
          <w:spacing w:val="-10"/>
          <w:lang w:eastAsia="zh-CN"/>
        </w:rPr>
        <w:t>课范围，未修满本专业教学计划中各类课程学分者不能毕业。</w:t>
      </w:r>
      <w:r>
        <w:rPr>
          <w:spacing w:val="-9"/>
          <w:lang w:eastAsia="zh-CN"/>
        </w:rPr>
        <w:t>在导师指导下确定修读的课程、时间和顺序。凡有严格的先</w:t>
      </w:r>
      <w:r>
        <w:rPr>
          <w:spacing w:val="-8"/>
          <w:lang w:eastAsia="zh-CN"/>
        </w:rPr>
        <w:t>修后读关系的课程，应先选修先修课程，再选修后续课程。</w:t>
      </w:r>
      <w:r>
        <w:rPr>
          <w:spacing w:val="-6"/>
          <w:lang w:eastAsia="zh-CN"/>
        </w:rPr>
        <w:t>所选的课程不能与必修课的授课时间有冲突，否则不能选修。</w:t>
      </w:r>
    </w:p>
    <w:p>
      <w:pPr>
        <w:spacing w:line="309" w:lineRule="auto"/>
        <w:rPr>
          <w:lang w:eastAsia="zh-CN"/>
        </w:rPr>
        <w:sectPr>
          <w:footerReference r:id="rId3" w:type="default"/>
          <w:pgSz w:w="11910" w:h="16840"/>
          <w:pgMar w:top="1080" w:right="1540" w:bottom="1400" w:left="1560" w:header="893" w:footer="1205" w:gutter="0"/>
          <w:cols w:space="720" w:num="1"/>
        </w:sectPr>
      </w:pPr>
    </w:p>
    <w:p>
      <w:pPr>
        <w:pStyle w:val="2"/>
        <w:rPr>
          <w:sz w:val="20"/>
          <w:lang w:eastAsia="zh-CN"/>
        </w:rPr>
      </w:pPr>
    </w:p>
    <w:p>
      <w:pPr>
        <w:pStyle w:val="2"/>
        <w:rPr>
          <w:sz w:val="20"/>
          <w:lang w:eastAsia="zh-CN"/>
        </w:rPr>
      </w:pPr>
    </w:p>
    <w:p>
      <w:pPr>
        <w:pStyle w:val="2"/>
        <w:spacing w:before="157" w:line="309" w:lineRule="auto"/>
        <w:ind w:left="141" w:right="273" w:firstLine="639"/>
        <w:jc w:val="both"/>
        <w:rPr>
          <w:lang w:eastAsia="zh-CN"/>
        </w:rPr>
      </w:pPr>
      <w:r>
        <w:rPr>
          <w:lang w:eastAsia="zh-CN"/>
        </w:rPr>
        <w:t>2</w:t>
      </w:r>
      <w:r>
        <w:rPr>
          <w:spacing w:val="1"/>
          <w:lang w:eastAsia="zh-CN"/>
        </w:rPr>
        <w:t>.根据学习进程的安排及个人的学习负担、兴趣，学生</w:t>
      </w:r>
      <w:r>
        <w:rPr>
          <w:lang w:eastAsia="zh-CN"/>
        </w:rPr>
        <w:t>从第二学期始可以每学期选修一至二门公共选修课，其中文</w:t>
      </w:r>
      <w:r>
        <w:rPr>
          <w:spacing w:val="-6"/>
          <w:lang w:eastAsia="zh-CN"/>
        </w:rPr>
        <w:t xml:space="preserve">科学生必须选修 </w:t>
      </w:r>
      <w:r>
        <w:rPr>
          <w:lang w:eastAsia="zh-CN"/>
        </w:rPr>
        <w:t>2</w:t>
      </w:r>
      <w:r>
        <w:rPr>
          <w:spacing w:val="-7"/>
          <w:lang w:eastAsia="zh-CN"/>
        </w:rPr>
        <w:t xml:space="preserve"> 学分的自然科学、技术技能、学院专业特</w:t>
      </w:r>
    </w:p>
    <w:p>
      <w:pPr>
        <w:pStyle w:val="2"/>
        <w:spacing w:before="28" w:line="309" w:lineRule="auto"/>
        <w:ind w:left="141" w:right="277"/>
        <w:jc w:val="both"/>
        <w:rPr>
          <w:lang w:eastAsia="zh-CN"/>
        </w:rPr>
      </w:pPr>
      <w:r>
        <w:rPr>
          <w:spacing w:val="-4"/>
          <w:lang w:eastAsia="zh-CN"/>
        </w:rPr>
        <w:t xml:space="preserve">色类课程；理工科学生必须选修 </w:t>
      </w:r>
      <w:r>
        <w:rPr>
          <w:lang w:eastAsia="zh-CN"/>
        </w:rPr>
        <w:t>2</w:t>
      </w:r>
      <w:r>
        <w:rPr>
          <w:spacing w:val="-7"/>
          <w:lang w:eastAsia="zh-CN"/>
        </w:rPr>
        <w:t xml:space="preserve"> 学分的经济管理、人文社科、学院专业特色类课程。学生修完本专业的主干课程后， 可根据本专业教学计划的安排，结合个人志愿选择专业选修</w:t>
      </w:r>
      <w:r>
        <w:rPr>
          <w:spacing w:val="-1"/>
          <w:lang w:eastAsia="zh-CN"/>
        </w:rPr>
        <w:t>课，包括专业限选课和专业任选课。</w:t>
      </w:r>
    </w:p>
    <w:p>
      <w:pPr>
        <w:pStyle w:val="2"/>
        <w:spacing w:before="28" w:line="309" w:lineRule="auto"/>
        <w:ind w:left="141" w:right="189" w:firstLine="639"/>
        <w:rPr>
          <w:lang w:eastAsia="zh-CN"/>
        </w:rPr>
      </w:pPr>
      <w:r>
        <w:rPr>
          <w:lang w:eastAsia="zh-CN"/>
        </w:rPr>
        <w:t>3.为奖励学习成绩优秀的学生，凡上学期平均学分绩点大于等于 3 的学生，经本人申请，系主任审核，报教务处批</w:t>
      </w:r>
    </w:p>
    <w:p>
      <w:pPr>
        <w:pStyle w:val="2"/>
        <w:spacing w:before="28" w:line="309" w:lineRule="auto"/>
        <w:ind w:left="141" w:right="189"/>
        <w:rPr>
          <w:lang w:eastAsia="zh-CN"/>
        </w:rPr>
      </w:pPr>
      <w:r>
        <w:rPr>
          <w:spacing w:val="-17"/>
          <w:lang w:eastAsia="zh-CN"/>
        </w:rPr>
        <w:t xml:space="preserve">准，允许在每学期教学计划规定的应修读的学分外，加选 </w:t>
      </w:r>
      <w:r>
        <w:rPr>
          <w:lang w:eastAsia="zh-CN"/>
        </w:rPr>
        <w:t>1-3 个学分，并允许在主修本专业的同时，选修另一个专业的课程，修满规定的的课程学分，由学院发给辅修专业证书；经</w:t>
      </w:r>
      <w:r>
        <w:rPr>
          <w:spacing w:val="-10"/>
          <w:lang w:eastAsia="zh-CN"/>
        </w:rPr>
        <w:t xml:space="preserve">系主任批准，教务处审定备案后，也可加选下一学期的课程， </w:t>
      </w:r>
      <w:r>
        <w:rPr>
          <w:spacing w:val="-9"/>
          <w:lang w:eastAsia="zh-CN"/>
        </w:rPr>
        <w:t>经考核合格取得学分，可在该课程的规定学期中申请免修。</w:t>
      </w:r>
      <w:r>
        <w:rPr>
          <w:spacing w:val="-8"/>
          <w:lang w:eastAsia="zh-CN"/>
        </w:rPr>
        <w:t>选修专业选修课程或选修另一个专业的课程的学分可抵冲公共类选修课的学分。所选课程在课程表确定后原则上不准退</w:t>
      </w:r>
      <w:r>
        <w:rPr>
          <w:spacing w:val="-1"/>
          <w:lang w:eastAsia="zh-CN"/>
        </w:rPr>
        <w:t>选和改选。</w:t>
      </w:r>
    </w:p>
    <w:p>
      <w:pPr>
        <w:pStyle w:val="2"/>
        <w:spacing w:before="28" w:line="309" w:lineRule="auto"/>
        <w:ind w:left="141" w:right="43" w:firstLine="639"/>
        <w:rPr>
          <w:lang w:eastAsia="zh-CN"/>
        </w:rPr>
      </w:pPr>
      <w:r>
        <w:rPr>
          <w:lang w:eastAsia="zh-CN"/>
        </w:rPr>
        <w:t>4.学生选修公共选修课和专业任选课，允许试读两周， 经试读后认为确属选课不当或负担过重，经导师签署意见后， 可向所在系申请退选，所在系应将退选课学生从选课名单中删除，并通知任课教师和教务处。</w:t>
      </w:r>
    </w:p>
    <w:p>
      <w:pPr>
        <w:pStyle w:val="2"/>
        <w:spacing w:before="28" w:line="309" w:lineRule="auto"/>
        <w:ind w:left="141" w:right="43" w:firstLine="639"/>
        <w:rPr>
          <w:lang w:eastAsia="zh-CN"/>
        </w:rPr>
      </w:pPr>
      <w:r>
        <w:rPr>
          <w:lang w:eastAsia="zh-CN"/>
        </w:rPr>
        <w:t>5.为保持正常的教学秩序，凡未办理选修手续的学生， 不得随意进入课堂听课，亦不得参加考核，自行参加考核者， 其成绩为无效成绩。</w:t>
      </w:r>
    </w:p>
    <w:p>
      <w:pPr>
        <w:pStyle w:val="2"/>
        <w:spacing w:before="28"/>
        <w:ind w:left="781"/>
        <w:rPr>
          <w:lang w:eastAsia="zh-CN"/>
        </w:rPr>
      </w:pPr>
      <w:r>
        <w:rPr>
          <w:lang w:eastAsia="zh-CN"/>
        </w:rPr>
        <w:t>6.凡经批准选修有关课程的学生，必须按时参加听课、</w:t>
      </w:r>
    </w:p>
    <w:p>
      <w:pPr>
        <w:rPr>
          <w:lang w:eastAsia="zh-CN"/>
        </w:rPr>
        <w:sectPr>
          <w:footerReference r:id="rId4" w:type="default"/>
          <w:pgSz w:w="11910" w:h="16840"/>
          <w:pgMar w:top="1080" w:right="1520" w:bottom="1340" w:left="1560" w:header="893" w:footer="1145" w:gutter="0"/>
          <w:pgNumType w:start="301"/>
          <w:cols w:space="720" w:num="1"/>
        </w:sectPr>
      </w:pPr>
    </w:p>
    <w:p>
      <w:pPr>
        <w:pStyle w:val="2"/>
        <w:rPr>
          <w:sz w:val="20"/>
          <w:lang w:eastAsia="zh-CN"/>
        </w:rPr>
      </w:pPr>
    </w:p>
    <w:p>
      <w:pPr>
        <w:pStyle w:val="2"/>
        <w:rPr>
          <w:sz w:val="20"/>
          <w:lang w:eastAsia="zh-CN"/>
        </w:rPr>
      </w:pPr>
    </w:p>
    <w:p>
      <w:pPr>
        <w:pStyle w:val="2"/>
        <w:spacing w:before="157" w:line="309" w:lineRule="auto"/>
        <w:ind w:left="141" w:right="170"/>
        <w:rPr>
          <w:lang w:eastAsia="zh-CN"/>
        </w:rPr>
      </w:pPr>
      <w:r>
        <w:rPr>
          <w:lang w:eastAsia="zh-CN"/>
        </w:rPr>
        <w:t>实验、实训、完成作业，参加平时考核及课程结束时的综合考核，无故不参加者按第二十五条处理。</w:t>
      </w:r>
    </w:p>
    <w:p>
      <w:pPr>
        <w:pStyle w:val="2"/>
        <w:spacing w:before="28" w:line="309" w:lineRule="auto"/>
        <w:ind w:left="141" w:right="253" w:firstLine="639"/>
        <w:jc w:val="both"/>
        <w:rPr>
          <w:lang w:eastAsia="zh-CN"/>
        </w:rPr>
      </w:pPr>
      <w:r>
        <w:rPr>
          <w:lang w:eastAsia="zh-CN"/>
        </w:rPr>
        <w:t>7.学生按专业培养计划完成各类课程的学分后，根据个人的学习需要需额外选修其它课程，按学分缴交规定的选修费用后予以修读。</w:t>
      </w:r>
    </w:p>
    <w:p>
      <w:pPr>
        <w:pStyle w:val="2"/>
        <w:spacing w:before="28" w:line="309" w:lineRule="auto"/>
        <w:ind w:left="141" w:right="255" w:firstLine="639"/>
        <w:jc w:val="both"/>
        <w:rPr>
          <w:lang w:eastAsia="zh-CN"/>
        </w:rPr>
      </w:pPr>
      <w:r>
        <w:rPr>
          <w:lang w:eastAsia="zh-CN"/>
        </w:rPr>
        <w:t>8.可以参加开放式网络课程（MOOC）的学习，修读的课程成绩（学分）由学院审核后予以承认。在网络课程学习过程中，采用“黑客”行为非正常手段进行的课程学习的，视情节给予记过直至开除学籍的处分。</w:t>
      </w:r>
    </w:p>
    <w:p>
      <w:pPr>
        <w:pStyle w:val="2"/>
        <w:spacing w:before="28"/>
        <w:ind w:left="781"/>
        <w:rPr>
          <w:lang w:eastAsia="zh-CN"/>
        </w:rPr>
      </w:pPr>
      <w:r>
        <w:rPr>
          <w:lang w:eastAsia="zh-CN"/>
        </w:rPr>
        <w:t>（二）选课程序</w:t>
      </w:r>
    </w:p>
    <w:p>
      <w:pPr>
        <w:pStyle w:val="2"/>
        <w:spacing w:before="121" w:line="309" w:lineRule="auto"/>
        <w:ind w:left="141" w:right="98" w:firstLine="639"/>
        <w:rPr>
          <w:lang w:eastAsia="zh-CN"/>
        </w:rPr>
      </w:pPr>
      <w:r>
        <w:rPr>
          <w:lang w:eastAsia="zh-CN"/>
        </w:rPr>
        <w:t>1.</w:t>
      </w:r>
      <w:r>
        <w:rPr>
          <w:spacing w:val="-7"/>
          <w:lang w:eastAsia="zh-CN"/>
        </w:rPr>
        <w:t xml:space="preserve">每学期结束前 </w:t>
      </w:r>
      <w:r>
        <w:rPr>
          <w:lang w:eastAsia="zh-CN"/>
        </w:rPr>
        <w:t>6</w:t>
      </w:r>
      <w:r>
        <w:rPr>
          <w:spacing w:val="-7"/>
          <w:lang w:eastAsia="zh-CN"/>
        </w:rPr>
        <w:t xml:space="preserve"> 周，各系应召开专门选修辅导会议， 由各系本着公开的原则，建立便于选课、选教师的具体制度， 实事求是地向学生说明下学期开设的选修课及简要说明、学生限额、主讲教师情况等，为学生选课、选教师提供充足的</w:t>
      </w:r>
      <w:r>
        <w:rPr>
          <w:spacing w:val="-1"/>
          <w:lang w:eastAsia="zh-CN"/>
        </w:rPr>
        <w:t>依据。</w:t>
      </w:r>
    </w:p>
    <w:p>
      <w:pPr>
        <w:pStyle w:val="2"/>
        <w:spacing w:before="28" w:line="309" w:lineRule="auto"/>
        <w:ind w:left="141" w:right="253" w:firstLine="639"/>
        <w:jc w:val="both"/>
        <w:rPr>
          <w:lang w:eastAsia="zh-CN"/>
        </w:rPr>
      </w:pPr>
      <w:r>
        <w:rPr>
          <w:lang w:eastAsia="zh-CN"/>
        </w:rPr>
        <w:t>2</w:t>
      </w:r>
      <w:r>
        <w:rPr>
          <w:spacing w:val="1"/>
          <w:lang w:eastAsia="zh-CN"/>
        </w:rPr>
        <w:t>.全院性公共选修课的选课：一般安排两次选课，由教</w:t>
      </w:r>
      <w:r>
        <w:rPr>
          <w:spacing w:val="-2"/>
          <w:lang w:eastAsia="zh-CN"/>
        </w:rPr>
        <w:t xml:space="preserve">务处统一协调安排。第一次选课安排在每学期结束前 </w:t>
      </w:r>
      <w:r>
        <w:rPr>
          <w:lang w:eastAsia="zh-CN"/>
        </w:rPr>
        <w:t>6</w:t>
      </w:r>
      <w:r>
        <w:rPr>
          <w:spacing w:val="-16"/>
          <w:lang w:eastAsia="zh-CN"/>
        </w:rPr>
        <w:t xml:space="preserve"> 周进</w:t>
      </w:r>
      <w:r>
        <w:rPr>
          <w:spacing w:val="-14"/>
          <w:lang w:eastAsia="zh-CN"/>
        </w:rPr>
        <w:t>行，全体学生要根据本专业教学计划和公布的《选课目录》</w:t>
      </w:r>
      <w:r>
        <w:rPr>
          <w:spacing w:val="-13"/>
          <w:lang w:eastAsia="zh-CN"/>
        </w:rPr>
        <w:t>选择下学期的课程，重修课程的选课安排在下学期第二次选课（补、退选课）</w:t>
      </w:r>
      <w:r>
        <w:rPr>
          <w:spacing w:val="-7"/>
          <w:lang w:eastAsia="zh-CN"/>
        </w:rPr>
        <w:t>时进行；第二次选课</w:t>
      </w:r>
      <w:r>
        <w:rPr>
          <w:lang w:eastAsia="zh-CN"/>
        </w:rPr>
        <w:t>（补、退选课）一般安排在每学期第一周进行，选课对象主要是根据上学期考试成绩确定的有奖励学分和需补选、重修的学生。学生选课并</w:t>
      </w:r>
      <w:r>
        <w:rPr>
          <w:spacing w:val="-1"/>
          <w:lang w:eastAsia="zh-CN"/>
        </w:rPr>
        <w:t>获得确定后，方能正式听课。</w:t>
      </w:r>
    </w:p>
    <w:p>
      <w:pPr>
        <w:pStyle w:val="2"/>
        <w:spacing w:before="28" w:line="309" w:lineRule="auto"/>
        <w:ind w:left="141" w:right="253" w:firstLine="639"/>
        <w:jc w:val="both"/>
        <w:rPr>
          <w:lang w:eastAsia="zh-CN"/>
        </w:rPr>
      </w:pPr>
      <w:r>
        <w:rPr>
          <w:lang w:eastAsia="zh-CN"/>
        </w:rPr>
        <w:t>3.专业选修课的选课：应根据各专业教学计划规定的学期进行，由各系安排。各专业学生应在导师的指导下，根据</w:t>
      </w:r>
    </w:p>
    <w:p>
      <w:pPr>
        <w:spacing w:line="309" w:lineRule="auto"/>
        <w:jc w:val="both"/>
        <w:rPr>
          <w:lang w:eastAsia="zh-CN"/>
        </w:rPr>
        <w:sectPr>
          <w:pgSz w:w="11910" w:h="16840"/>
          <w:pgMar w:top="1080" w:right="1540" w:bottom="1400" w:left="1560" w:header="893" w:footer="1145" w:gutter="0"/>
          <w:cols w:space="720" w:num="1"/>
        </w:sectPr>
      </w:pPr>
    </w:p>
    <w:p>
      <w:pPr>
        <w:pStyle w:val="2"/>
        <w:rPr>
          <w:sz w:val="20"/>
          <w:lang w:eastAsia="zh-CN"/>
        </w:rPr>
      </w:pPr>
    </w:p>
    <w:p>
      <w:pPr>
        <w:pStyle w:val="2"/>
        <w:rPr>
          <w:sz w:val="20"/>
          <w:lang w:eastAsia="zh-CN"/>
        </w:rPr>
      </w:pPr>
    </w:p>
    <w:p>
      <w:pPr>
        <w:pStyle w:val="2"/>
        <w:spacing w:before="157" w:line="309" w:lineRule="auto"/>
        <w:ind w:left="141" w:right="9"/>
        <w:rPr>
          <w:lang w:eastAsia="zh-CN"/>
        </w:rPr>
      </w:pPr>
      <w:r>
        <w:rPr>
          <w:lang w:eastAsia="zh-CN"/>
        </w:rPr>
        <w:t>自身的具体情况和学院教育资源状况，选择合理的选课方案。导师对学生的选课进行指导但不得包办，最终由学生本人决定所选课程。各系一般应在教学任务落实之前安排好专业选修课的选课。</w:t>
      </w:r>
    </w:p>
    <w:p>
      <w:pPr>
        <w:pStyle w:val="2"/>
        <w:spacing w:before="28" w:line="309" w:lineRule="auto"/>
        <w:ind w:left="141" w:right="259" w:firstLine="639"/>
        <w:jc w:val="both"/>
        <w:rPr>
          <w:lang w:eastAsia="zh-CN"/>
        </w:rPr>
      </w:pPr>
      <w:r>
        <w:rPr>
          <w:lang w:eastAsia="zh-CN"/>
        </w:rPr>
        <w:t>4.</w:t>
      </w:r>
      <w:r>
        <w:rPr>
          <w:spacing w:val="-14"/>
          <w:lang w:eastAsia="zh-CN"/>
        </w:rPr>
        <w:t xml:space="preserve">经选课注册后，不足 </w:t>
      </w:r>
      <w:r>
        <w:rPr>
          <w:lang w:eastAsia="zh-CN"/>
        </w:rPr>
        <w:t>20</w:t>
      </w:r>
      <w:r>
        <w:rPr>
          <w:spacing w:val="-12"/>
          <w:lang w:eastAsia="zh-CN"/>
        </w:rPr>
        <w:t xml:space="preserve"> 人的予以停并，学生可按规定</w:t>
      </w:r>
      <w:r>
        <w:rPr>
          <w:spacing w:val="-1"/>
          <w:lang w:eastAsia="zh-CN"/>
        </w:rPr>
        <w:t>改选其它选修课。</w:t>
      </w:r>
    </w:p>
    <w:p>
      <w:pPr>
        <w:pStyle w:val="2"/>
        <w:tabs>
          <w:tab w:val="left" w:pos="2700"/>
        </w:tabs>
        <w:spacing w:before="28"/>
        <w:ind w:left="781"/>
        <w:rPr>
          <w:lang w:eastAsia="zh-CN"/>
        </w:rPr>
      </w:pPr>
      <w:r>
        <w:rPr>
          <w:lang w:eastAsia="zh-CN"/>
        </w:rPr>
        <w:t>第三十一条</w:t>
      </w:r>
      <w:r>
        <w:rPr>
          <w:lang w:eastAsia="zh-CN"/>
        </w:rPr>
        <w:tab/>
      </w:r>
      <w:r>
        <w:rPr>
          <w:spacing w:val="-1"/>
          <w:lang w:eastAsia="zh-CN"/>
        </w:rPr>
        <w:t>课程的重修</w:t>
      </w:r>
    </w:p>
    <w:p>
      <w:pPr>
        <w:pStyle w:val="2"/>
        <w:spacing w:before="120" w:line="309" w:lineRule="auto"/>
        <w:ind w:left="141" w:right="253" w:firstLine="639"/>
        <w:jc w:val="both"/>
        <w:rPr>
          <w:lang w:eastAsia="zh-CN"/>
        </w:rPr>
      </w:pPr>
      <w:r>
        <w:rPr>
          <w:spacing w:val="3"/>
          <w:lang w:eastAsia="zh-CN"/>
        </w:rPr>
        <w:t>按《福建船政交通职业学院课程重修管理实施细则（试</w:t>
      </w:r>
      <w:r>
        <w:rPr>
          <w:spacing w:val="-1"/>
          <w:lang w:eastAsia="zh-CN"/>
        </w:rPr>
        <w:t>行</w:t>
      </w:r>
      <w:r>
        <w:rPr>
          <w:spacing w:val="-160"/>
          <w:lang w:eastAsia="zh-CN"/>
        </w:rPr>
        <w:t>）</w:t>
      </w:r>
      <w:r>
        <w:rPr>
          <w:spacing w:val="-1"/>
          <w:lang w:eastAsia="zh-CN"/>
        </w:rPr>
        <w:t>》规定实施。</w:t>
      </w:r>
    </w:p>
    <w:p>
      <w:pPr>
        <w:pStyle w:val="2"/>
        <w:tabs>
          <w:tab w:val="left" w:pos="2700"/>
        </w:tabs>
        <w:spacing w:before="28"/>
        <w:ind w:left="781"/>
        <w:rPr>
          <w:lang w:eastAsia="zh-CN"/>
        </w:rPr>
      </w:pPr>
      <w:r>
        <w:rPr>
          <w:lang w:eastAsia="zh-CN"/>
        </w:rPr>
        <w:t>第三十二条</w:t>
      </w:r>
      <w:r>
        <w:rPr>
          <w:lang w:eastAsia="zh-CN"/>
        </w:rPr>
        <w:tab/>
      </w:r>
      <w:r>
        <w:rPr>
          <w:spacing w:val="-1"/>
          <w:lang w:eastAsia="zh-CN"/>
        </w:rPr>
        <w:t>课程的免修、免听</w:t>
      </w:r>
    </w:p>
    <w:p>
      <w:pPr>
        <w:pStyle w:val="2"/>
        <w:spacing w:before="121" w:line="309" w:lineRule="auto"/>
        <w:ind w:left="141" w:right="170" w:firstLine="639"/>
        <w:rPr>
          <w:lang w:eastAsia="zh-CN"/>
        </w:rPr>
      </w:pPr>
      <w:r>
        <w:rPr>
          <w:spacing w:val="3"/>
          <w:lang w:eastAsia="zh-CN"/>
        </w:rPr>
        <w:t>（一）政治理论、计算机、体育等课程及实践性极强的</w:t>
      </w:r>
      <w:r>
        <w:rPr>
          <w:lang w:eastAsia="zh-CN"/>
        </w:rPr>
        <w:t>课程不得申请免听和免修。学生如通过自学确已掌握某门课程的知识和技能，可以申请免修，学生免修课程应由本人提</w:t>
      </w:r>
      <w:r>
        <w:rPr>
          <w:spacing w:val="-9"/>
          <w:lang w:eastAsia="zh-CN"/>
        </w:rPr>
        <w:t xml:space="preserve">出申请，经导师和开课单位系(部)主任同意，经教务处审核， </w:t>
      </w:r>
      <w:r>
        <w:rPr>
          <w:spacing w:val="-8"/>
          <w:lang w:eastAsia="zh-CN"/>
        </w:rPr>
        <w:t>学生可参加免修考核，可获得相应学分并在学生成绩档案上</w:t>
      </w:r>
      <w:r>
        <w:rPr>
          <w:spacing w:val="-1"/>
          <w:lang w:eastAsia="zh-CN"/>
        </w:rPr>
        <w:t>予以登记注册。</w:t>
      </w:r>
    </w:p>
    <w:p>
      <w:pPr>
        <w:pStyle w:val="2"/>
        <w:spacing w:before="28" w:line="309" w:lineRule="auto"/>
        <w:ind w:left="141" w:right="253" w:firstLine="639"/>
        <w:jc w:val="both"/>
        <w:rPr>
          <w:lang w:eastAsia="zh-CN"/>
        </w:rPr>
      </w:pPr>
      <w:r>
        <w:rPr>
          <w:lang w:eastAsia="zh-CN"/>
        </w:rPr>
        <w:t>（二）学生通过国家认可同层次教育机构或更高学历层次的同专业类别、教学要求相当的某课程考试，经系（部） 同意，教务处认定，可申请免修，其考试成绩作为该课程的成绩记入成绩档案；也可申请免听，直接参加该课程的期末考试，课程成绩按实际考试成绩记载。</w:t>
      </w:r>
    </w:p>
    <w:p>
      <w:pPr>
        <w:pStyle w:val="2"/>
        <w:spacing w:before="28" w:line="309" w:lineRule="auto"/>
        <w:ind w:left="141" w:right="253" w:firstLine="639"/>
        <w:jc w:val="both"/>
        <w:rPr>
          <w:lang w:eastAsia="zh-CN"/>
        </w:rPr>
      </w:pPr>
      <w:r>
        <w:rPr>
          <w:spacing w:val="3"/>
          <w:lang w:eastAsia="zh-CN"/>
        </w:rPr>
        <w:t>（三）学生因重修课程、获准参加选修课程或学院组织</w:t>
      </w:r>
      <w:r>
        <w:rPr>
          <w:lang w:eastAsia="zh-CN"/>
        </w:rPr>
        <w:t>的其它与教学有关的活动，与现有教学环节在时间上有冲突时，经任课教师同意，系主任和教务处批准，可申请免听课</w:t>
      </w:r>
      <w:r>
        <w:rPr>
          <w:spacing w:val="-1"/>
          <w:lang w:eastAsia="zh-CN"/>
        </w:rPr>
        <w:t>程部分学时（不超过该学期课程总学时的</w:t>
      </w:r>
      <w:r>
        <w:rPr>
          <w:spacing w:val="-80"/>
          <w:lang w:eastAsia="zh-CN"/>
        </w:rPr>
        <w:t xml:space="preserve"> </w:t>
      </w:r>
      <w:r>
        <w:rPr>
          <w:spacing w:val="-1"/>
          <w:lang w:eastAsia="zh-CN"/>
        </w:rPr>
        <w:t>50%</w:t>
      </w:r>
      <w:r>
        <w:rPr>
          <w:spacing w:val="-160"/>
          <w:lang w:eastAsia="zh-CN"/>
        </w:rPr>
        <w:t>）</w:t>
      </w:r>
      <w:r>
        <w:rPr>
          <w:spacing w:val="-1"/>
          <w:lang w:eastAsia="zh-CN"/>
        </w:rPr>
        <w:t>，但必须完成</w:t>
      </w:r>
    </w:p>
    <w:p>
      <w:pPr>
        <w:spacing w:line="309" w:lineRule="auto"/>
        <w:jc w:val="both"/>
        <w:rPr>
          <w:lang w:eastAsia="zh-CN"/>
        </w:rPr>
        <w:sectPr>
          <w:pgSz w:w="11910" w:h="16840"/>
          <w:pgMar w:top="1080" w:right="1540" w:bottom="1400" w:left="1560" w:header="893" w:footer="1145" w:gutter="0"/>
          <w:cols w:space="720" w:num="1"/>
        </w:sectPr>
      </w:pPr>
    </w:p>
    <w:p>
      <w:pPr>
        <w:pStyle w:val="2"/>
        <w:rPr>
          <w:sz w:val="20"/>
          <w:lang w:eastAsia="zh-CN"/>
        </w:rPr>
      </w:pPr>
    </w:p>
    <w:p>
      <w:pPr>
        <w:pStyle w:val="2"/>
        <w:rPr>
          <w:sz w:val="20"/>
          <w:lang w:eastAsia="zh-CN"/>
        </w:rPr>
      </w:pPr>
    </w:p>
    <w:p>
      <w:pPr>
        <w:pStyle w:val="2"/>
        <w:spacing w:before="157" w:line="309" w:lineRule="auto"/>
        <w:ind w:left="141" w:right="237"/>
        <w:jc w:val="both"/>
        <w:rPr>
          <w:lang w:eastAsia="zh-CN"/>
        </w:rPr>
      </w:pPr>
      <w:r>
        <w:rPr>
          <w:lang w:eastAsia="zh-CN"/>
        </w:rPr>
        <w:t>该课程所规定的作业、测验和实验、实习后，方能参加期末考试。</w:t>
      </w:r>
    </w:p>
    <w:p>
      <w:pPr>
        <w:pStyle w:val="2"/>
        <w:spacing w:before="28" w:line="309" w:lineRule="auto"/>
        <w:ind w:left="141" w:right="233" w:firstLine="639"/>
        <w:jc w:val="both"/>
        <w:rPr>
          <w:lang w:eastAsia="zh-CN"/>
        </w:rPr>
      </w:pPr>
      <w:r>
        <w:rPr>
          <w:spacing w:val="3"/>
          <w:lang w:eastAsia="zh-CN"/>
        </w:rPr>
        <w:t>（四）申请免修、免听的学生在前一学期各门课程必须</w:t>
      </w:r>
      <w:r>
        <w:rPr>
          <w:spacing w:val="-6"/>
          <w:lang w:eastAsia="zh-CN"/>
        </w:rPr>
        <w:t xml:space="preserve">全部及格，且平均学分绩点在 </w:t>
      </w:r>
      <w:r>
        <w:rPr>
          <w:lang w:eastAsia="zh-CN"/>
        </w:rPr>
        <w:t>3</w:t>
      </w:r>
      <w:r>
        <w:rPr>
          <w:spacing w:val="-16"/>
          <w:lang w:eastAsia="zh-CN"/>
        </w:rPr>
        <w:t xml:space="preserve"> 以上，免修课程考试应达 </w:t>
      </w:r>
      <w:r>
        <w:rPr>
          <w:lang w:eastAsia="zh-CN"/>
        </w:rPr>
        <w:t xml:space="preserve">80 </w:t>
      </w:r>
      <w:r>
        <w:rPr>
          <w:spacing w:val="-1"/>
          <w:lang w:eastAsia="zh-CN"/>
        </w:rPr>
        <w:t>分以上者，方可办理免修、免听手续。</w:t>
      </w:r>
    </w:p>
    <w:p>
      <w:pPr>
        <w:pStyle w:val="2"/>
        <w:spacing w:before="28"/>
        <w:ind w:left="781"/>
        <w:rPr>
          <w:lang w:eastAsia="zh-CN"/>
        </w:rPr>
      </w:pPr>
      <w:r>
        <w:rPr>
          <w:lang w:eastAsia="zh-CN"/>
        </w:rPr>
        <w:t>（五）每学期免修和免听的课程最多不超过二门。</w:t>
      </w:r>
    </w:p>
    <w:p>
      <w:pPr>
        <w:pStyle w:val="2"/>
        <w:spacing w:before="120" w:line="309" w:lineRule="auto"/>
        <w:ind w:left="781" w:right="629"/>
        <w:rPr>
          <w:lang w:eastAsia="zh-CN"/>
        </w:rPr>
      </w:pPr>
      <w:r>
        <w:rPr>
          <w:lang w:eastAsia="zh-CN"/>
        </w:rPr>
        <w:t>（六）免修课程的考核成绩，作为该课的成绩记载。六、学习提醒、学习预警、退学、注销学籍</w:t>
      </w:r>
    </w:p>
    <w:p>
      <w:pPr>
        <w:pStyle w:val="2"/>
        <w:spacing w:before="28"/>
        <w:ind w:left="765"/>
        <w:rPr>
          <w:lang w:eastAsia="zh-CN"/>
        </w:rPr>
      </w:pPr>
      <w:r>
        <w:rPr>
          <w:spacing w:val="-7"/>
          <w:lang w:eastAsia="zh-CN"/>
        </w:rPr>
        <w:t>第三十三条 学生一学期获得的学分低于</w:t>
      </w:r>
      <w:r>
        <w:rPr>
          <w:spacing w:val="-3"/>
          <w:lang w:eastAsia="zh-CN"/>
        </w:rPr>
        <w:t>14</w:t>
      </w:r>
      <w:r>
        <w:rPr>
          <w:spacing w:val="-46"/>
          <w:lang w:eastAsia="zh-CN"/>
        </w:rPr>
        <w:t xml:space="preserve"> 学分</w:t>
      </w:r>
      <w:r>
        <w:rPr>
          <w:spacing w:val="-5"/>
          <w:lang w:eastAsia="zh-CN"/>
        </w:rPr>
        <w:t>≥10</w:t>
      </w:r>
      <w:r>
        <w:rPr>
          <w:spacing w:val="-45"/>
          <w:lang w:eastAsia="zh-CN"/>
        </w:rPr>
        <w:t xml:space="preserve"> 学分</w:t>
      </w:r>
    </w:p>
    <w:p>
      <w:pPr>
        <w:pStyle w:val="2"/>
        <w:spacing w:before="121" w:line="309" w:lineRule="auto"/>
        <w:ind w:left="141" w:right="239"/>
        <w:jc w:val="both"/>
        <w:rPr>
          <w:lang w:eastAsia="zh-CN"/>
        </w:rPr>
      </w:pPr>
      <w:r>
        <w:rPr>
          <w:spacing w:val="-9"/>
          <w:lang w:eastAsia="zh-CN"/>
        </w:rPr>
        <w:t>（</w:t>
      </w:r>
      <w:r>
        <w:rPr>
          <w:lang w:eastAsia="zh-CN"/>
        </w:rPr>
        <w:t>含</w:t>
      </w:r>
      <w:r>
        <w:rPr>
          <w:spacing w:val="-90"/>
          <w:lang w:eastAsia="zh-CN"/>
        </w:rPr>
        <w:t xml:space="preserve"> </w:t>
      </w:r>
      <w:r>
        <w:rPr>
          <w:spacing w:val="-5"/>
          <w:lang w:eastAsia="zh-CN"/>
        </w:rPr>
        <w:t>1</w:t>
      </w:r>
      <w:r>
        <w:rPr>
          <w:lang w:eastAsia="zh-CN"/>
        </w:rPr>
        <w:t>0</w:t>
      </w:r>
      <w:r>
        <w:rPr>
          <w:spacing w:val="-88"/>
          <w:lang w:eastAsia="zh-CN"/>
        </w:rPr>
        <w:t xml:space="preserve"> </w:t>
      </w:r>
      <w:r>
        <w:rPr>
          <w:spacing w:val="-9"/>
          <w:lang w:eastAsia="zh-CN"/>
        </w:rPr>
        <w:t>学分</w:t>
      </w:r>
      <w:r>
        <w:rPr>
          <w:spacing w:val="-165"/>
          <w:lang w:eastAsia="zh-CN"/>
        </w:rPr>
        <w:t>）</w:t>
      </w:r>
      <w:r>
        <w:rPr>
          <w:spacing w:val="-13"/>
          <w:lang w:eastAsia="zh-CN"/>
        </w:rPr>
        <w:t>，教务处应通知系部给予学生学习提醒，同时学</w:t>
      </w:r>
      <w:r>
        <w:rPr>
          <w:spacing w:val="-15"/>
          <w:lang w:eastAsia="zh-CN"/>
        </w:rPr>
        <w:t>生应主动与辅导员和任课教师联系，在辅导员和任课教师的指导下应拟定出学习成绩提高计划。</w:t>
      </w:r>
    </w:p>
    <w:p>
      <w:pPr>
        <w:pStyle w:val="2"/>
        <w:spacing w:before="28" w:line="309" w:lineRule="auto"/>
        <w:ind w:left="141" w:right="238" w:firstLine="639"/>
        <w:jc w:val="both"/>
        <w:rPr>
          <w:lang w:eastAsia="zh-CN"/>
        </w:rPr>
      </w:pPr>
      <w:r>
        <w:rPr>
          <w:spacing w:val="-2"/>
          <w:lang w:eastAsia="zh-CN"/>
        </w:rPr>
        <w:t>第三十四条 学生一学期取得的学分＜</w:t>
      </w:r>
      <w:r>
        <w:rPr>
          <w:lang w:eastAsia="zh-CN"/>
        </w:rPr>
        <w:t>10</w:t>
      </w:r>
      <w:r>
        <w:rPr>
          <w:spacing w:val="-32"/>
          <w:lang w:eastAsia="zh-CN"/>
        </w:rPr>
        <w:t xml:space="preserve"> 学分，应转入学习预警，学习预警期为一学期，保留原班级学籍半年。学习</w:t>
      </w:r>
      <w:r>
        <w:rPr>
          <w:spacing w:val="-37"/>
          <w:lang w:eastAsia="zh-CN"/>
        </w:rPr>
        <w:t xml:space="preserve">预警期内取得的学分达到 </w:t>
      </w:r>
      <w:r>
        <w:rPr>
          <w:lang w:eastAsia="zh-CN"/>
        </w:rPr>
        <w:t>14</w:t>
      </w:r>
      <w:r>
        <w:rPr>
          <w:spacing w:val="-14"/>
          <w:lang w:eastAsia="zh-CN"/>
        </w:rPr>
        <w:t xml:space="preserve"> 学分，可恢复原班级学籍；学习</w:t>
      </w:r>
      <w:r>
        <w:rPr>
          <w:spacing w:val="-20"/>
          <w:lang w:eastAsia="zh-CN"/>
        </w:rPr>
        <w:t xml:space="preserve">预警期内所取得的学分低于 </w:t>
      </w:r>
      <w:r>
        <w:rPr>
          <w:lang w:eastAsia="zh-CN"/>
        </w:rPr>
        <w:t>10</w:t>
      </w:r>
      <w:r>
        <w:rPr>
          <w:spacing w:val="-15"/>
          <w:lang w:eastAsia="zh-CN"/>
        </w:rPr>
        <w:t xml:space="preserve"> 学分，经学生本人申请，学院有关部门审核同意后允许学生留级到下一年级学习（如果无</w:t>
      </w:r>
      <w:r>
        <w:rPr>
          <w:spacing w:val="-1"/>
          <w:lang w:eastAsia="zh-CN"/>
        </w:rPr>
        <w:t>后续班级，则按试读处理</w:t>
      </w:r>
      <w:r>
        <w:rPr>
          <w:spacing w:val="-162"/>
          <w:lang w:eastAsia="zh-CN"/>
        </w:rPr>
        <w:t>）</w:t>
      </w:r>
      <w:r>
        <w:rPr>
          <w:spacing w:val="-1"/>
          <w:lang w:eastAsia="zh-CN"/>
        </w:rPr>
        <w:t>，否则予以退学。</w:t>
      </w:r>
    </w:p>
    <w:p>
      <w:pPr>
        <w:pStyle w:val="2"/>
        <w:spacing w:before="28" w:line="309" w:lineRule="auto"/>
        <w:ind w:left="141" w:right="319" w:firstLine="480"/>
        <w:jc w:val="both"/>
        <w:rPr>
          <w:lang w:eastAsia="zh-CN"/>
        </w:rPr>
      </w:pPr>
      <w:r>
        <w:rPr>
          <w:lang w:eastAsia="zh-CN"/>
        </w:rPr>
        <w:t>第三十五条 学生在校期间, 学习预警期次数不得超过三次，否则按退学处理；学习预警期间辅导员和导师应给予学生更多关心和帮助，学生应制定出切实可行的学习计划。</w:t>
      </w:r>
    </w:p>
    <w:p>
      <w:pPr>
        <w:pStyle w:val="2"/>
        <w:tabs>
          <w:tab w:val="left" w:pos="2701"/>
        </w:tabs>
        <w:spacing w:before="28" w:line="309" w:lineRule="auto"/>
        <w:ind w:left="141" w:right="640" w:firstLine="480"/>
        <w:rPr>
          <w:lang w:eastAsia="zh-CN"/>
        </w:rPr>
      </w:pPr>
      <w:r>
        <w:rPr>
          <w:lang w:eastAsia="zh-CN"/>
        </w:rPr>
        <w:t>第三十六</w:t>
      </w:r>
      <w:r>
        <w:rPr>
          <w:spacing w:val="-2"/>
          <w:lang w:eastAsia="zh-CN"/>
        </w:rPr>
        <w:t xml:space="preserve"> </w:t>
      </w:r>
      <w:r>
        <w:rPr>
          <w:lang w:eastAsia="zh-CN"/>
        </w:rPr>
        <w:t>条</w:t>
      </w:r>
      <w:r>
        <w:rPr>
          <w:lang w:eastAsia="zh-CN"/>
        </w:rPr>
        <w:tab/>
      </w:r>
      <w:r>
        <w:rPr>
          <w:spacing w:val="-1"/>
          <w:lang w:eastAsia="zh-CN"/>
        </w:rPr>
        <w:t>学生在校学习期间因病或其他原因死亡 的，其学籍应给予注销。</w:t>
      </w:r>
    </w:p>
    <w:p>
      <w:pPr>
        <w:pStyle w:val="2"/>
        <w:spacing w:before="28" w:line="309" w:lineRule="auto"/>
        <w:ind w:left="781" w:right="5269"/>
        <w:rPr>
          <w:lang w:eastAsia="zh-CN"/>
        </w:rPr>
      </w:pPr>
      <w:r>
        <w:rPr>
          <w:lang w:eastAsia="zh-CN"/>
        </w:rPr>
        <w:t>七、转专业与转学第三十七条 转专业</w:t>
      </w:r>
    </w:p>
    <w:p>
      <w:pPr>
        <w:spacing w:line="309" w:lineRule="auto"/>
        <w:rPr>
          <w:lang w:eastAsia="zh-CN"/>
        </w:rPr>
        <w:sectPr>
          <w:pgSz w:w="11910" w:h="16840"/>
          <w:pgMar w:top="1080" w:right="1560" w:bottom="1400" w:left="1560" w:header="893" w:footer="1145" w:gutter="0"/>
          <w:cols w:space="720" w:num="1"/>
        </w:sectPr>
      </w:pPr>
    </w:p>
    <w:p>
      <w:pPr>
        <w:pStyle w:val="2"/>
        <w:rPr>
          <w:sz w:val="20"/>
          <w:lang w:eastAsia="zh-CN"/>
        </w:rPr>
      </w:pPr>
    </w:p>
    <w:p>
      <w:pPr>
        <w:pStyle w:val="2"/>
        <w:rPr>
          <w:sz w:val="20"/>
          <w:lang w:eastAsia="zh-CN"/>
        </w:rPr>
      </w:pPr>
    </w:p>
    <w:p>
      <w:pPr>
        <w:pStyle w:val="2"/>
        <w:spacing w:before="157" w:line="309" w:lineRule="auto"/>
        <w:ind w:left="141" w:right="273" w:firstLine="639"/>
        <w:jc w:val="both"/>
        <w:rPr>
          <w:lang w:eastAsia="zh-CN"/>
        </w:rPr>
      </w:pPr>
      <w:r>
        <w:rPr>
          <w:spacing w:val="3"/>
          <w:lang w:eastAsia="zh-CN"/>
        </w:rPr>
        <w:t>转专业按照《福建船政交通职业学院学生转专业实施办</w:t>
      </w:r>
      <w:r>
        <w:rPr>
          <w:spacing w:val="-1"/>
          <w:lang w:eastAsia="zh-CN"/>
        </w:rPr>
        <w:t>法（试行</w:t>
      </w:r>
      <w:r>
        <w:rPr>
          <w:spacing w:val="-160"/>
          <w:lang w:eastAsia="zh-CN"/>
        </w:rPr>
        <w:t>）</w:t>
      </w:r>
      <w:r>
        <w:rPr>
          <w:spacing w:val="-1"/>
          <w:lang w:eastAsia="zh-CN"/>
        </w:rPr>
        <w:t>》实施。</w:t>
      </w:r>
    </w:p>
    <w:p>
      <w:pPr>
        <w:pStyle w:val="2"/>
        <w:spacing w:before="28" w:line="309" w:lineRule="auto"/>
        <w:ind w:left="141" w:right="277" w:firstLine="639"/>
        <w:jc w:val="both"/>
        <w:rPr>
          <w:lang w:eastAsia="zh-CN"/>
        </w:rPr>
      </w:pPr>
      <w:r>
        <w:rPr>
          <w:lang w:eastAsia="zh-CN"/>
        </w:rPr>
        <w:t>第三十八条 转学由学生提出申请，说明理由，转出学校同意；拟转入学校要严格审核转学条件及相关证明，符合本校培养要求且学校有教学能力的，经招生委员会或招生监督部门同意，系、院两级会议集体研究决定，将转入学生名单，表决情况如实记入会议纪要，由校长签署接收函。转学学生的相关手续和证明材料应一式四份，除学校留存外，同时报拟转入和转出学校所在地省级教育行政部门备案。</w:t>
      </w:r>
    </w:p>
    <w:p>
      <w:pPr>
        <w:pStyle w:val="2"/>
        <w:spacing w:before="28" w:line="309" w:lineRule="auto"/>
        <w:ind w:left="141" w:right="118" w:firstLine="799"/>
        <w:rPr>
          <w:lang w:eastAsia="zh-CN"/>
        </w:rPr>
      </w:pPr>
      <w:r>
        <w:rPr>
          <w:spacing w:val="-5"/>
          <w:lang w:eastAsia="zh-CN"/>
        </w:rPr>
        <w:t>学生转学由本人向所在系(部)提出申请， 经两校同意， 由转出学校报所在地省级教育行政部门确认转学理由正当， 可以办理转学手续；跨省转学者由转出地省级教育行政部门商转入地省级教育行政部门，按转学条件确认后办理转学手续。须转户口的由转入地省级教育行政部门将有关文件抄送</w:t>
      </w:r>
      <w:r>
        <w:rPr>
          <w:spacing w:val="-1"/>
          <w:lang w:eastAsia="zh-CN"/>
        </w:rPr>
        <w:t>转入校所在地公安部门。</w:t>
      </w:r>
    </w:p>
    <w:p>
      <w:pPr>
        <w:pStyle w:val="2"/>
        <w:spacing w:before="28"/>
        <w:ind w:left="781"/>
        <w:rPr>
          <w:lang w:eastAsia="zh-CN"/>
        </w:rPr>
      </w:pPr>
      <w:r>
        <w:rPr>
          <w:lang w:eastAsia="zh-CN"/>
        </w:rPr>
        <w:t>学生转学，应在每学期期末办理，并在下学期开学前办</w:t>
      </w:r>
    </w:p>
    <w:p>
      <w:pPr>
        <w:pStyle w:val="2"/>
        <w:spacing w:before="2"/>
        <w:rPr>
          <w:sz w:val="9"/>
          <w:lang w:eastAsia="zh-CN"/>
        </w:rPr>
      </w:pPr>
    </w:p>
    <w:p>
      <w:pPr>
        <w:pStyle w:val="2"/>
        <w:spacing w:before="1"/>
        <w:ind w:left="141"/>
        <w:rPr>
          <w:lang w:eastAsia="zh-CN"/>
        </w:rPr>
      </w:pPr>
      <w:r>
        <w:rPr>
          <w:lang w:eastAsia="zh-CN"/>
        </w:rPr>
        <w:t>妥。</w:t>
      </w:r>
    </w:p>
    <w:p>
      <w:pPr>
        <w:pStyle w:val="2"/>
        <w:tabs>
          <w:tab w:val="left" w:pos="2700"/>
        </w:tabs>
        <w:spacing w:before="120"/>
        <w:ind w:left="781"/>
        <w:rPr>
          <w:lang w:eastAsia="zh-CN"/>
        </w:rPr>
      </w:pPr>
      <w:r>
        <w:rPr>
          <w:lang w:eastAsia="zh-CN"/>
        </w:rPr>
        <w:t>第三十九条</w:t>
      </w:r>
      <w:r>
        <w:rPr>
          <w:lang w:eastAsia="zh-CN"/>
        </w:rPr>
        <w:tab/>
      </w:r>
      <w:r>
        <w:rPr>
          <w:spacing w:val="-1"/>
          <w:lang w:eastAsia="zh-CN"/>
        </w:rPr>
        <w:t>有下列情况之一者，不得转学：</w:t>
      </w:r>
    </w:p>
    <w:p>
      <w:pPr>
        <w:pStyle w:val="2"/>
        <w:spacing w:before="120"/>
        <w:ind w:left="781"/>
        <w:rPr>
          <w:lang w:eastAsia="zh-CN"/>
        </w:rPr>
      </w:pPr>
      <w:r>
        <w:rPr>
          <w:lang w:eastAsia="zh-CN"/>
        </w:rPr>
        <w:t>（一）入学未满一学期的；</w:t>
      </w:r>
    </w:p>
    <w:p>
      <w:pPr>
        <w:pStyle w:val="2"/>
        <w:spacing w:before="120"/>
        <w:ind w:left="781"/>
        <w:rPr>
          <w:lang w:eastAsia="zh-CN"/>
        </w:rPr>
      </w:pPr>
      <w:r>
        <w:rPr>
          <w:lang w:eastAsia="zh-CN"/>
        </w:rPr>
        <w:t>（二）高考分数低于拟转入学校相关专业相应年份录取</w:t>
      </w:r>
    </w:p>
    <w:p>
      <w:pPr>
        <w:pStyle w:val="2"/>
        <w:spacing w:before="1"/>
        <w:rPr>
          <w:sz w:val="9"/>
          <w:lang w:eastAsia="zh-CN"/>
        </w:rPr>
      </w:pPr>
    </w:p>
    <w:p>
      <w:pPr>
        <w:pStyle w:val="2"/>
        <w:spacing w:before="2"/>
        <w:ind w:left="141"/>
        <w:rPr>
          <w:lang w:eastAsia="zh-CN"/>
        </w:rPr>
      </w:pPr>
      <w:r>
        <w:rPr>
          <w:lang w:eastAsia="zh-CN"/>
        </w:rPr>
        <w:t>分数的；</w:t>
      </w:r>
    </w:p>
    <w:p>
      <w:pPr>
        <w:pStyle w:val="2"/>
        <w:spacing w:before="121"/>
        <w:ind w:left="781"/>
        <w:rPr>
          <w:lang w:eastAsia="zh-CN"/>
        </w:rPr>
      </w:pPr>
      <w:r>
        <w:rPr>
          <w:lang w:eastAsia="zh-CN"/>
        </w:rPr>
        <w:t>（三）由低学历层次转为高学历层次的；</w:t>
      </w:r>
    </w:p>
    <w:p>
      <w:pPr>
        <w:pStyle w:val="2"/>
        <w:spacing w:before="121" w:line="309" w:lineRule="auto"/>
        <w:ind w:left="141" w:right="30" w:firstLine="639"/>
        <w:rPr>
          <w:lang w:eastAsia="zh-CN"/>
        </w:rPr>
      </w:pPr>
      <w:r>
        <w:rPr>
          <w:lang w:eastAsia="zh-CN"/>
        </w:rPr>
        <w:t>（四）通过定向就业、艺术类、体育类、高水平艺术团、高水平运动队等特殊招生形式录取的；</w:t>
      </w:r>
    </w:p>
    <w:p>
      <w:pPr>
        <w:pStyle w:val="2"/>
        <w:spacing w:before="28"/>
        <w:ind w:left="781"/>
        <w:rPr>
          <w:lang w:eastAsia="zh-CN"/>
        </w:rPr>
      </w:pPr>
      <w:r>
        <w:rPr>
          <w:lang w:eastAsia="zh-CN"/>
        </w:rPr>
        <w:t>（五）未通过普通高等学校招生全国统一考试或未使用</w:t>
      </w:r>
    </w:p>
    <w:p>
      <w:pPr>
        <w:rPr>
          <w:lang w:eastAsia="zh-CN"/>
        </w:rPr>
        <w:sectPr>
          <w:pgSz w:w="11910" w:h="16840"/>
          <w:pgMar w:top="1080" w:right="1520" w:bottom="1400" w:left="1560" w:header="893" w:footer="1145" w:gutter="0"/>
          <w:cols w:space="720" w:num="1"/>
        </w:sectPr>
      </w:pPr>
    </w:p>
    <w:p>
      <w:pPr>
        <w:pStyle w:val="2"/>
        <w:rPr>
          <w:sz w:val="20"/>
          <w:lang w:eastAsia="zh-CN"/>
        </w:rPr>
      </w:pPr>
    </w:p>
    <w:p>
      <w:pPr>
        <w:pStyle w:val="2"/>
        <w:rPr>
          <w:sz w:val="20"/>
          <w:lang w:eastAsia="zh-CN"/>
        </w:rPr>
      </w:pPr>
    </w:p>
    <w:p>
      <w:pPr>
        <w:pStyle w:val="2"/>
        <w:spacing w:before="157" w:line="309" w:lineRule="auto"/>
        <w:ind w:left="141" w:right="189"/>
        <w:rPr>
          <w:lang w:eastAsia="zh-CN"/>
        </w:rPr>
      </w:pPr>
      <w:r>
        <w:rPr>
          <w:lang w:eastAsia="zh-CN"/>
        </w:rPr>
        <w:t>高考成绩录取入学的(含保送生、单独考试招生、政法干警、第二学士学位、专升本、五年一贯制、三二分段制等)；</w:t>
      </w:r>
    </w:p>
    <w:p>
      <w:pPr>
        <w:pStyle w:val="2"/>
        <w:spacing w:before="28"/>
        <w:ind w:left="781"/>
        <w:rPr>
          <w:lang w:eastAsia="zh-CN"/>
        </w:rPr>
      </w:pPr>
      <w:r>
        <w:rPr>
          <w:lang w:eastAsia="zh-CN"/>
        </w:rPr>
        <w:t>（六）跨学科门类的；</w:t>
      </w:r>
    </w:p>
    <w:p>
      <w:pPr>
        <w:pStyle w:val="2"/>
        <w:spacing w:before="121"/>
        <w:ind w:left="781"/>
        <w:rPr>
          <w:lang w:eastAsia="zh-CN"/>
        </w:rPr>
      </w:pPr>
      <w:r>
        <w:rPr>
          <w:lang w:eastAsia="zh-CN"/>
        </w:rPr>
        <w:t>（七）应予退学的；</w:t>
      </w:r>
    </w:p>
    <w:p>
      <w:pPr>
        <w:pStyle w:val="2"/>
        <w:spacing w:before="121" w:line="309" w:lineRule="auto"/>
        <w:ind w:left="781" w:right="4189"/>
        <w:rPr>
          <w:lang w:eastAsia="zh-CN"/>
        </w:rPr>
      </w:pPr>
      <w:r>
        <w:rPr>
          <w:lang w:eastAsia="zh-CN"/>
        </w:rPr>
        <w:t>（八）其他无正当理由的。八、休学、保留学籍与复学</w:t>
      </w:r>
    </w:p>
    <w:p>
      <w:pPr>
        <w:pStyle w:val="2"/>
        <w:tabs>
          <w:tab w:val="left" w:pos="2400"/>
        </w:tabs>
        <w:spacing w:before="28" w:line="309" w:lineRule="auto"/>
        <w:ind w:left="141" w:right="279" w:firstLine="639"/>
        <w:rPr>
          <w:lang w:eastAsia="zh-CN"/>
        </w:rPr>
      </w:pPr>
      <w:r>
        <w:rPr>
          <w:lang w:eastAsia="zh-CN"/>
        </w:rPr>
        <w:t>第四十条</w:t>
      </w:r>
      <w:r>
        <w:rPr>
          <w:lang w:eastAsia="zh-CN"/>
        </w:rPr>
        <w:tab/>
      </w:r>
      <w:r>
        <w:rPr>
          <w:lang w:eastAsia="zh-CN"/>
        </w:rPr>
        <w:t>凡有下列情况之一的学生，可准其休</w:t>
      </w:r>
      <w:r>
        <w:rPr>
          <w:spacing w:val="4"/>
          <w:lang w:eastAsia="zh-CN"/>
        </w:rPr>
        <w:t>学或</w:t>
      </w:r>
      <w:r>
        <w:rPr>
          <w:lang w:eastAsia="zh-CN"/>
        </w:rPr>
        <w:t xml:space="preserve">令 </w:t>
      </w:r>
      <w:r>
        <w:rPr>
          <w:spacing w:val="-1"/>
          <w:lang w:eastAsia="zh-CN"/>
        </w:rPr>
        <w:t>其休学，并发给休学证明：</w:t>
      </w:r>
    </w:p>
    <w:p>
      <w:pPr>
        <w:pStyle w:val="2"/>
        <w:spacing w:before="28" w:line="309" w:lineRule="auto"/>
        <w:ind w:left="141" w:right="329" w:firstLine="639"/>
        <w:rPr>
          <w:lang w:eastAsia="zh-CN"/>
        </w:rPr>
      </w:pPr>
      <w:r>
        <w:rPr>
          <w:lang w:eastAsia="zh-CN"/>
        </w:rPr>
        <w:t>（一）因病经二级甲等以上医院诊断，须停课治疗，休养占一学期总学时 1/3 以上者；</w:t>
      </w:r>
    </w:p>
    <w:p>
      <w:pPr>
        <w:pStyle w:val="2"/>
        <w:spacing w:before="28" w:line="309" w:lineRule="auto"/>
        <w:ind w:left="141" w:right="190" w:firstLine="639"/>
        <w:rPr>
          <w:lang w:eastAsia="zh-CN"/>
        </w:rPr>
      </w:pPr>
      <w:r>
        <w:rPr>
          <w:lang w:eastAsia="zh-CN"/>
        </w:rPr>
        <w:t>（二）根据考勤，请假累计超过该学期总学时 1/3(包括理论教学、实习和生产劳动时间)者；</w:t>
      </w:r>
    </w:p>
    <w:p>
      <w:pPr>
        <w:pStyle w:val="2"/>
        <w:spacing w:before="28"/>
        <w:ind w:left="781"/>
        <w:rPr>
          <w:lang w:eastAsia="zh-CN"/>
        </w:rPr>
      </w:pPr>
      <w:r>
        <w:rPr>
          <w:lang w:eastAsia="zh-CN"/>
        </w:rPr>
        <w:t>（三）学生因创新创业需要；</w:t>
      </w:r>
    </w:p>
    <w:p>
      <w:pPr>
        <w:pStyle w:val="2"/>
        <w:spacing w:before="121"/>
        <w:ind w:left="781"/>
        <w:rPr>
          <w:lang w:eastAsia="zh-CN"/>
        </w:rPr>
      </w:pPr>
      <w:r>
        <w:rPr>
          <w:lang w:eastAsia="zh-CN"/>
        </w:rPr>
        <w:t>（四）因某种特殊原因，本人申请或学院认为必须休学</w:t>
      </w:r>
    </w:p>
    <w:p>
      <w:pPr>
        <w:pStyle w:val="2"/>
        <w:spacing w:before="1"/>
        <w:rPr>
          <w:sz w:val="9"/>
          <w:lang w:eastAsia="zh-CN"/>
        </w:rPr>
      </w:pPr>
    </w:p>
    <w:p>
      <w:pPr>
        <w:pStyle w:val="2"/>
        <w:spacing w:before="2"/>
        <w:ind w:left="141"/>
        <w:rPr>
          <w:lang w:eastAsia="zh-CN"/>
        </w:rPr>
      </w:pPr>
      <w:r>
        <w:rPr>
          <w:lang w:eastAsia="zh-CN"/>
        </w:rPr>
        <w:t>者。</w:t>
      </w:r>
    </w:p>
    <w:p>
      <w:pPr>
        <w:pStyle w:val="2"/>
        <w:tabs>
          <w:tab w:val="left" w:pos="2723"/>
        </w:tabs>
        <w:spacing w:before="121"/>
        <w:ind w:left="781"/>
        <w:rPr>
          <w:lang w:eastAsia="zh-CN"/>
        </w:rPr>
      </w:pPr>
      <w:r>
        <w:rPr>
          <w:lang w:eastAsia="zh-CN"/>
        </w:rPr>
        <w:t>第四十一条</w:t>
      </w:r>
      <w:r>
        <w:rPr>
          <w:lang w:eastAsia="zh-CN"/>
        </w:rPr>
        <w:tab/>
      </w:r>
      <w:r>
        <w:rPr>
          <w:lang w:eastAsia="zh-CN"/>
        </w:rPr>
        <w:t>要求休学的学生必须向所在系提出</w:t>
      </w:r>
      <w:r>
        <w:rPr>
          <w:spacing w:val="4"/>
          <w:lang w:eastAsia="zh-CN"/>
        </w:rPr>
        <w:t>书面</w:t>
      </w:r>
      <w:r>
        <w:rPr>
          <w:lang w:eastAsia="zh-CN"/>
        </w:rPr>
        <w:t>申</w:t>
      </w:r>
    </w:p>
    <w:p>
      <w:pPr>
        <w:pStyle w:val="2"/>
        <w:spacing w:before="1"/>
        <w:rPr>
          <w:sz w:val="9"/>
          <w:lang w:eastAsia="zh-CN"/>
        </w:rPr>
      </w:pPr>
    </w:p>
    <w:p>
      <w:pPr>
        <w:pStyle w:val="2"/>
        <w:spacing w:before="2" w:line="309" w:lineRule="auto"/>
        <w:ind w:left="141" w:right="118"/>
        <w:rPr>
          <w:lang w:eastAsia="zh-CN"/>
        </w:rPr>
      </w:pPr>
      <w:r>
        <w:rPr>
          <w:spacing w:val="-9"/>
          <w:lang w:eastAsia="zh-CN"/>
        </w:rPr>
        <w:t>请，并附有关证明，经学生辅导员、系</w:t>
      </w:r>
      <w:r>
        <w:rPr>
          <w:lang w:eastAsia="zh-CN"/>
        </w:rPr>
        <w:t>（部</w:t>
      </w:r>
      <w:r>
        <w:rPr>
          <w:spacing w:val="-16"/>
          <w:lang w:eastAsia="zh-CN"/>
        </w:rPr>
        <w:t>）</w:t>
      </w:r>
      <w:r>
        <w:rPr>
          <w:lang w:eastAsia="zh-CN"/>
        </w:rPr>
        <w:t>主任签注意见、教务处审查，分管院长审核，报院长批准后，由教务处发给</w:t>
      </w:r>
      <w:r>
        <w:rPr>
          <w:spacing w:val="-1"/>
          <w:lang w:eastAsia="zh-CN"/>
        </w:rPr>
        <w:t>休学证明。</w:t>
      </w:r>
    </w:p>
    <w:p>
      <w:pPr>
        <w:pStyle w:val="2"/>
        <w:spacing w:before="28" w:line="309" w:lineRule="auto"/>
        <w:ind w:left="141" w:right="279" w:firstLine="639"/>
        <w:jc w:val="both"/>
        <w:rPr>
          <w:lang w:eastAsia="zh-CN"/>
        </w:rPr>
      </w:pPr>
      <w:r>
        <w:rPr>
          <w:lang w:eastAsia="zh-CN"/>
        </w:rPr>
        <w:t>第四十二条 学生休学，一般以一学年为期(因病经学院</w:t>
      </w:r>
      <w:r>
        <w:rPr>
          <w:spacing w:val="-7"/>
          <w:lang w:eastAsia="zh-CN"/>
        </w:rPr>
        <w:t>批准可连续休学两年)，累计不得超过两年</w:t>
      </w:r>
      <w:r>
        <w:rPr>
          <w:lang w:eastAsia="zh-CN"/>
        </w:rPr>
        <w:t>（因创业休学的除</w:t>
      </w:r>
      <w:r>
        <w:rPr>
          <w:spacing w:val="-1"/>
          <w:lang w:eastAsia="zh-CN"/>
        </w:rPr>
        <w:t>外</w:t>
      </w:r>
      <w:r>
        <w:rPr>
          <w:spacing w:val="-160"/>
          <w:lang w:eastAsia="zh-CN"/>
        </w:rPr>
        <w:t>）</w:t>
      </w:r>
      <w:r>
        <w:rPr>
          <w:spacing w:val="-1"/>
          <w:lang w:eastAsia="zh-CN"/>
        </w:rPr>
        <w:t>。休学学生的有关问题，按下列规定办理：</w:t>
      </w:r>
    </w:p>
    <w:p>
      <w:pPr>
        <w:pStyle w:val="2"/>
        <w:spacing w:before="28" w:line="309" w:lineRule="auto"/>
        <w:ind w:left="141" w:right="273" w:firstLine="639"/>
        <w:jc w:val="both"/>
        <w:rPr>
          <w:lang w:eastAsia="zh-CN"/>
        </w:rPr>
      </w:pPr>
      <w:r>
        <w:rPr>
          <w:lang w:eastAsia="zh-CN"/>
        </w:rPr>
        <w:t>（一）学生休学回家，往返路费自理，休学期间不享受在校生待遇。</w:t>
      </w:r>
    </w:p>
    <w:p>
      <w:pPr>
        <w:pStyle w:val="2"/>
        <w:spacing w:before="28"/>
        <w:ind w:left="781"/>
        <w:rPr>
          <w:lang w:eastAsia="zh-CN"/>
        </w:rPr>
      </w:pPr>
      <w:r>
        <w:rPr>
          <w:lang w:eastAsia="zh-CN"/>
        </w:rPr>
        <w:t>（二）因病休学的学生，应回家疗养，医疗费用由本人</w:t>
      </w:r>
    </w:p>
    <w:p>
      <w:pPr>
        <w:rPr>
          <w:lang w:eastAsia="zh-CN"/>
        </w:rPr>
        <w:sectPr>
          <w:pgSz w:w="11910" w:h="16840"/>
          <w:pgMar w:top="1080" w:right="1520" w:bottom="1400" w:left="1560" w:header="893" w:footer="1145" w:gutter="0"/>
          <w:cols w:space="720" w:num="1"/>
        </w:sectPr>
      </w:pPr>
    </w:p>
    <w:p>
      <w:pPr>
        <w:pStyle w:val="2"/>
        <w:rPr>
          <w:sz w:val="20"/>
          <w:lang w:eastAsia="zh-CN"/>
        </w:rPr>
      </w:pPr>
    </w:p>
    <w:p>
      <w:pPr>
        <w:pStyle w:val="2"/>
        <w:rPr>
          <w:sz w:val="20"/>
          <w:lang w:eastAsia="zh-CN"/>
        </w:rPr>
      </w:pPr>
    </w:p>
    <w:p>
      <w:pPr>
        <w:pStyle w:val="2"/>
        <w:spacing w:before="157"/>
        <w:ind w:left="141"/>
        <w:jc w:val="both"/>
        <w:rPr>
          <w:lang w:eastAsia="zh-CN"/>
        </w:rPr>
      </w:pPr>
      <w:r>
        <w:rPr>
          <w:lang w:eastAsia="zh-CN"/>
        </w:rPr>
        <w:t>自理。</w:t>
      </w:r>
    </w:p>
    <w:p>
      <w:pPr>
        <w:pStyle w:val="2"/>
        <w:spacing w:before="120"/>
        <w:ind w:left="781"/>
        <w:rPr>
          <w:lang w:eastAsia="zh-CN"/>
        </w:rPr>
      </w:pPr>
      <w:r>
        <w:rPr>
          <w:lang w:eastAsia="zh-CN"/>
        </w:rPr>
        <w:t>（三）学生的户口不迁出学院。</w:t>
      </w:r>
    </w:p>
    <w:p>
      <w:pPr>
        <w:pStyle w:val="2"/>
        <w:spacing w:before="120" w:line="309" w:lineRule="auto"/>
        <w:ind w:left="141" w:right="238" w:firstLine="639"/>
        <w:jc w:val="both"/>
        <w:rPr>
          <w:lang w:eastAsia="zh-CN"/>
        </w:rPr>
      </w:pPr>
      <w:r>
        <w:rPr>
          <w:lang w:eastAsia="zh-CN"/>
        </w:rPr>
        <w:t>第四十三条 在校学生应征参加中国人民解放军</w:t>
      </w:r>
      <w:r>
        <w:rPr>
          <w:spacing w:val="4"/>
          <w:lang w:eastAsia="zh-CN"/>
        </w:rPr>
        <w:t>（</w:t>
      </w:r>
      <w:r>
        <w:rPr>
          <w:spacing w:val="2"/>
          <w:lang w:eastAsia="zh-CN"/>
        </w:rPr>
        <w:t>含中国人民武装警察部队</w:t>
      </w:r>
      <w:r>
        <w:rPr>
          <w:spacing w:val="-101"/>
          <w:lang w:eastAsia="zh-CN"/>
        </w:rPr>
        <w:t>）</w:t>
      </w:r>
      <w:r>
        <w:rPr>
          <w:spacing w:val="-19"/>
          <w:lang w:eastAsia="zh-CN"/>
        </w:rPr>
        <w:t xml:space="preserve">，保留其学籍至退役后 </w:t>
      </w:r>
      <w:r>
        <w:rPr>
          <w:lang w:eastAsia="zh-CN"/>
        </w:rPr>
        <w:t>2</w:t>
      </w:r>
      <w:r>
        <w:rPr>
          <w:spacing w:val="-19"/>
          <w:lang w:eastAsia="zh-CN"/>
        </w:rPr>
        <w:t xml:space="preserve"> 年，退役后复</w:t>
      </w:r>
      <w:r>
        <w:rPr>
          <w:spacing w:val="-21"/>
          <w:lang w:eastAsia="zh-CN"/>
        </w:rPr>
        <w:t xml:space="preserve">学手续按规定办理。入伍新生在退役后 </w:t>
      </w:r>
      <w:r>
        <w:rPr>
          <w:lang w:eastAsia="zh-CN"/>
        </w:rPr>
        <w:t>2</w:t>
      </w:r>
      <w:r>
        <w:rPr>
          <w:spacing w:val="-7"/>
          <w:lang w:eastAsia="zh-CN"/>
        </w:rPr>
        <w:t xml:space="preserve"> 年内，可以在退役</w:t>
      </w:r>
    </w:p>
    <w:p>
      <w:pPr>
        <w:pStyle w:val="2"/>
        <w:spacing w:before="28" w:line="309" w:lineRule="auto"/>
        <w:ind w:left="141" w:right="237"/>
        <w:jc w:val="both"/>
        <w:rPr>
          <w:lang w:eastAsia="zh-CN"/>
        </w:rPr>
      </w:pPr>
      <w:r>
        <w:rPr>
          <w:spacing w:val="-8"/>
          <w:lang w:eastAsia="zh-CN"/>
        </w:rPr>
        <w:t xml:space="preserve">当年或者第 </w:t>
      </w:r>
      <w:r>
        <w:rPr>
          <w:lang w:eastAsia="zh-CN"/>
        </w:rPr>
        <w:t>2</w:t>
      </w:r>
      <w:r>
        <w:rPr>
          <w:spacing w:val="-7"/>
          <w:lang w:eastAsia="zh-CN"/>
        </w:rPr>
        <w:t xml:space="preserve"> 年高校新生入学期间，持《保留入学资格通知</w:t>
      </w:r>
      <w:r>
        <w:rPr>
          <w:spacing w:val="-24"/>
          <w:lang w:eastAsia="zh-CN"/>
        </w:rPr>
        <w:t>书》和高校录取通知书，到录取高校办理入学手续</w:t>
      </w:r>
      <w:r>
        <w:rPr>
          <w:lang w:eastAsia="zh-CN"/>
        </w:rPr>
        <w:t>（</w:t>
      </w:r>
      <w:r>
        <w:rPr>
          <w:spacing w:val="-3"/>
          <w:lang w:eastAsia="zh-CN"/>
        </w:rPr>
        <w:t>教育部 总参谋部关于印发《应征入伍普通高等学校录取新生保留入学资格及退役后入学办法（试行</w:t>
      </w:r>
      <w:r>
        <w:rPr>
          <w:spacing w:val="-160"/>
          <w:lang w:eastAsia="zh-CN"/>
        </w:rPr>
        <w:t>）</w:t>
      </w:r>
      <w:r>
        <w:rPr>
          <w:lang w:eastAsia="zh-CN"/>
        </w:rPr>
        <w:t>》的通知｛2013｝8</w:t>
      </w:r>
      <w:r>
        <w:rPr>
          <w:spacing w:val="-48"/>
          <w:lang w:eastAsia="zh-CN"/>
        </w:rPr>
        <w:t xml:space="preserve"> 号</w:t>
      </w:r>
      <w:r>
        <w:rPr>
          <w:spacing w:val="-160"/>
          <w:lang w:eastAsia="zh-CN"/>
        </w:rPr>
        <w:t>）</w:t>
      </w:r>
      <w:r>
        <w:rPr>
          <w:lang w:eastAsia="zh-CN"/>
        </w:rPr>
        <w:t>。</w:t>
      </w:r>
    </w:p>
    <w:p>
      <w:pPr>
        <w:pStyle w:val="2"/>
        <w:spacing w:before="28" w:line="309" w:lineRule="auto"/>
        <w:ind w:left="141" w:right="239" w:firstLine="639"/>
        <w:jc w:val="both"/>
        <w:rPr>
          <w:lang w:eastAsia="zh-CN"/>
        </w:rPr>
      </w:pPr>
      <w:r>
        <w:rPr>
          <w:lang w:eastAsia="zh-CN"/>
        </w:rPr>
        <w:t>第四十四条 经有关部门批准出国自费留学、赴国外或港、澳、台地区定居的学生，可保留学籍一年。</w:t>
      </w:r>
    </w:p>
    <w:p>
      <w:pPr>
        <w:pStyle w:val="2"/>
        <w:spacing w:before="28" w:line="309" w:lineRule="auto"/>
        <w:ind w:left="141" w:right="237" w:firstLine="639"/>
        <w:jc w:val="both"/>
        <w:rPr>
          <w:lang w:eastAsia="zh-CN"/>
        </w:rPr>
      </w:pPr>
      <w:r>
        <w:rPr>
          <w:lang w:eastAsia="zh-CN"/>
        </w:rPr>
        <w:t>第四十五条 需中断学业进行创业的学生，由学生本人提出申请，学生家长（监护人）同意，经学院批准可分阶段完成学业，允许其中断学习，保留学籍，每次中断时间以一年为限，经协商一致，最长可延长学制 3 年。</w:t>
      </w:r>
    </w:p>
    <w:p>
      <w:pPr>
        <w:pStyle w:val="2"/>
        <w:spacing w:before="28" w:line="309" w:lineRule="auto"/>
        <w:ind w:left="141" w:right="233" w:firstLine="639"/>
        <w:jc w:val="both"/>
        <w:rPr>
          <w:lang w:eastAsia="zh-CN"/>
        </w:rPr>
      </w:pPr>
      <w:r>
        <w:rPr>
          <w:lang w:eastAsia="zh-CN"/>
        </w:rPr>
        <w:t>学生休学期间发生事故，责任由学生本人和家长承担。保留学籍学生不享受在校学习学生待遇。</w:t>
      </w:r>
    </w:p>
    <w:p>
      <w:pPr>
        <w:pStyle w:val="2"/>
        <w:tabs>
          <w:tab w:val="left" w:pos="2701"/>
        </w:tabs>
        <w:spacing w:before="28"/>
        <w:ind w:left="781"/>
        <w:rPr>
          <w:lang w:eastAsia="zh-CN"/>
        </w:rPr>
      </w:pPr>
      <w:r>
        <w:rPr>
          <w:lang w:eastAsia="zh-CN"/>
        </w:rPr>
        <w:t>第四十六条</w:t>
      </w:r>
      <w:r>
        <w:rPr>
          <w:lang w:eastAsia="zh-CN"/>
        </w:rPr>
        <w:tab/>
      </w:r>
      <w:r>
        <w:rPr>
          <w:spacing w:val="-1"/>
          <w:lang w:eastAsia="zh-CN"/>
        </w:rPr>
        <w:t>学生复学按下列规定办理：</w:t>
      </w:r>
    </w:p>
    <w:p>
      <w:pPr>
        <w:pStyle w:val="2"/>
        <w:spacing w:before="121" w:line="309" w:lineRule="auto"/>
        <w:ind w:left="141" w:right="233" w:firstLine="639"/>
        <w:jc w:val="both"/>
        <w:rPr>
          <w:lang w:eastAsia="zh-CN"/>
        </w:rPr>
      </w:pPr>
      <w:r>
        <w:rPr>
          <w:lang w:eastAsia="zh-CN"/>
        </w:rPr>
        <w:t>（一）因伤、病休学的学生，申请复学时必须由二级甲等以上医院诊断，证明恢复健康，并经校医复查合格，由系</w:t>
      </w:r>
    </w:p>
    <w:p>
      <w:pPr>
        <w:pStyle w:val="2"/>
        <w:spacing w:before="28" w:line="309" w:lineRule="auto"/>
        <w:ind w:left="141" w:right="237"/>
        <w:jc w:val="both"/>
        <w:rPr>
          <w:lang w:eastAsia="zh-CN"/>
        </w:rPr>
      </w:pPr>
      <w:r>
        <w:rPr>
          <w:lang w:eastAsia="zh-CN"/>
        </w:rPr>
        <w:t>（部）主任签注意见、教务处审查、分管院长审核，报院长批准后，方可复学。</w:t>
      </w:r>
    </w:p>
    <w:p>
      <w:pPr>
        <w:pStyle w:val="2"/>
        <w:spacing w:before="28" w:line="309" w:lineRule="auto"/>
        <w:ind w:left="141" w:right="233" w:firstLine="639"/>
        <w:jc w:val="both"/>
        <w:rPr>
          <w:lang w:eastAsia="zh-CN"/>
        </w:rPr>
      </w:pPr>
      <w:r>
        <w:rPr>
          <w:lang w:eastAsia="zh-CN"/>
        </w:rPr>
        <w:t>（二）学生休学、或保留学籍期满，应于学期开学前持有关证件向所在系（部）办公室申请复学，经系（部）主任签注意见、教务处审查，分管院长审核，报院长批准后，方</w:t>
      </w:r>
    </w:p>
    <w:p>
      <w:pPr>
        <w:spacing w:line="309" w:lineRule="auto"/>
        <w:jc w:val="both"/>
        <w:rPr>
          <w:lang w:eastAsia="zh-CN"/>
        </w:rPr>
        <w:sectPr>
          <w:pgSz w:w="11910" w:h="16840"/>
          <w:pgMar w:top="1080" w:right="1560" w:bottom="1400" w:left="1560" w:header="893" w:footer="1145" w:gutter="0"/>
          <w:cols w:space="720" w:num="1"/>
        </w:sectPr>
      </w:pPr>
    </w:p>
    <w:p>
      <w:pPr>
        <w:pStyle w:val="2"/>
        <w:rPr>
          <w:sz w:val="20"/>
          <w:lang w:eastAsia="zh-CN"/>
        </w:rPr>
      </w:pPr>
    </w:p>
    <w:p>
      <w:pPr>
        <w:pStyle w:val="2"/>
        <w:rPr>
          <w:sz w:val="20"/>
          <w:lang w:eastAsia="zh-CN"/>
        </w:rPr>
      </w:pPr>
    </w:p>
    <w:p>
      <w:pPr>
        <w:pStyle w:val="2"/>
        <w:spacing w:before="157"/>
        <w:ind w:left="141"/>
        <w:rPr>
          <w:lang w:eastAsia="zh-CN"/>
        </w:rPr>
      </w:pPr>
      <w:r>
        <w:rPr>
          <w:lang w:eastAsia="zh-CN"/>
        </w:rPr>
        <w:t>可复学。未经批准复学者，不得擅自到班级听课和考试。</w:t>
      </w:r>
    </w:p>
    <w:p>
      <w:pPr>
        <w:pStyle w:val="2"/>
        <w:spacing w:before="120" w:line="309" w:lineRule="auto"/>
        <w:ind w:left="141" w:right="233" w:firstLine="639"/>
        <w:jc w:val="both"/>
        <w:rPr>
          <w:lang w:eastAsia="zh-CN"/>
        </w:rPr>
      </w:pPr>
      <w:r>
        <w:rPr>
          <w:lang w:eastAsia="zh-CN"/>
        </w:rPr>
        <w:t>（三）学生在休学、保留学籍期间，如有严重违法乱纪行为者，取消复学资格。</w:t>
      </w:r>
    </w:p>
    <w:p>
      <w:pPr>
        <w:pStyle w:val="2"/>
        <w:spacing w:before="28" w:line="309" w:lineRule="auto"/>
        <w:ind w:left="141" w:right="237" w:firstLine="639"/>
        <w:jc w:val="both"/>
        <w:rPr>
          <w:lang w:eastAsia="zh-CN"/>
        </w:rPr>
      </w:pPr>
      <w:r>
        <w:rPr>
          <w:lang w:eastAsia="zh-CN"/>
        </w:rPr>
        <w:t>第四十七条 学生在休学、保留学籍、保留入学资格期间，如要报考其他高等学校，必须先办理取消入学资格或学籍手续。</w:t>
      </w:r>
    </w:p>
    <w:p>
      <w:pPr>
        <w:pStyle w:val="2"/>
        <w:spacing w:before="28" w:line="309" w:lineRule="auto"/>
        <w:ind w:left="141" w:right="239" w:firstLine="639"/>
        <w:jc w:val="both"/>
        <w:rPr>
          <w:lang w:eastAsia="zh-CN"/>
        </w:rPr>
      </w:pPr>
      <w:r>
        <w:rPr>
          <w:lang w:eastAsia="zh-CN"/>
        </w:rPr>
        <w:t>第四十八条 学生申请复学时，如原专业已调整合并或中断招生，可安排到其他相近专业学习。</w:t>
      </w:r>
    </w:p>
    <w:p>
      <w:pPr>
        <w:pStyle w:val="2"/>
        <w:tabs>
          <w:tab w:val="left" w:pos="2700"/>
        </w:tabs>
        <w:spacing w:before="28" w:line="309" w:lineRule="auto"/>
        <w:ind w:left="781" w:right="641"/>
        <w:rPr>
          <w:lang w:eastAsia="zh-CN"/>
        </w:rPr>
      </w:pPr>
      <w:r>
        <w:rPr>
          <w:lang w:eastAsia="zh-CN"/>
        </w:rPr>
        <w:t>第四十九条</w:t>
      </w:r>
      <w:r>
        <w:rPr>
          <w:lang w:eastAsia="zh-CN"/>
        </w:rPr>
        <w:tab/>
      </w:r>
      <w:r>
        <w:rPr>
          <w:spacing w:val="-1"/>
          <w:lang w:eastAsia="zh-CN"/>
        </w:rPr>
        <w:t>复学的学生原则应编入下一年级学习。 八、退学</w:t>
      </w:r>
    </w:p>
    <w:p>
      <w:pPr>
        <w:pStyle w:val="2"/>
        <w:tabs>
          <w:tab w:val="left" w:pos="2381"/>
        </w:tabs>
        <w:spacing w:before="28"/>
        <w:ind w:left="781"/>
        <w:rPr>
          <w:lang w:eastAsia="zh-CN"/>
        </w:rPr>
      </w:pPr>
      <w:r>
        <w:rPr>
          <w:lang w:eastAsia="zh-CN"/>
        </w:rPr>
        <w:t>第五十条</w:t>
      </w:r>
      <w:r>
        <w:rPr>
          <w:lang w:eastAsia="zh-CN"/>
        </w:rPr>
        <w:tab/>
      </w:r>
      <w:r>
        <w:rPr>
          <w:spacing w:val="-1"/>
          <w:lang w:eastAsia="zh-CN"/>
        </w:rPr>
        <w:t>学生有下列情形之一者，应予以退学。</w:t>
      </w:r>
    </w:p>
    <w:p>
      <w:pPr>
        <w:pStyle w:val="2"/>
        <w:spacing w:before="120" w:line="309" w:lineRule="auto"/>
        <w:ind w:left="141" w:right="233" w:firstLine="639"/>
        <w:jc w:val="both"/>
        <w:rPr>
          <w:lang w:eastAsia="zh-CN"/>
        </w:rPr>
      </w:pPr>
      <w:r>
        <w:rPr>
          <w:spacing w:val="3"/>
          <w:lang w:eastAsia="zh-CN"/>
        </w:rPr>
        <w:t>（一）学生在一学期中，必修课和专业限选课不及格学</w:t>
      </w:r>
      <w:r>
        <w:rPr>
          <w:spacing w:val="-4"/>
          <w:lang w:eastAsia="zh-CN"/>
        </w:rPr>
        <w:t xml:space="preserve">分数达到该学期所修课程学分的 </w:t>
      </w:r>
      <w:r>
        <w:rPr>
          <w:lang w:eastAsia="zh-CN"/>
        </w:rPr>
        <w:t>2/3</w:t>
      </w:r>
      <w:r>
        <w:rPr>
          <w:spacing w:val="-10"/>
          <w:lang w:eastAsia="zh-CN"/>
        </w:rPr>
        <w:t xml:space="preserve"> 及以上者</w:t>
      </w:r>
      <w:r>
        <w:rPr>
          <w:lang w:eastAsia="zh-CN"/>
        </w:rPr>
        <w:t>（新生一年级第一学期不及格课程学分达到退学，允许按规定给予补考或</w:t>
      </w:r>
      <w:r>
        <w:rPr>
          <w:spacing w:val="-1"/>
          <w:lang w:eastAsia="zh-CN"/>
        </w:rPr>
        <w:t>重修后计算不及格的课程学分）</w:t>
      </w:r>
    </w:p>
    <w:p>
      <w:pPr>
        <w:pStyle w:val="2"/>
        <w:spacing w:before="28" w:line="309" w:lineRule="auto"/>
        <w:ind w:left="141" w:right="233" w:firstLine="639"/>
        <w:jc w:val="both"/>
        <w:rPr>
          <w:lang w:eastAsia="zh-CN"/>
        </w:rPr>
      </w:pPr>
      <w:r>
        <w:rPr>
          <w:lang w:eastAsia="zh-CN"/>
        </w:rPr>
        <w:t>（二）学生在学院学习时间超过其学制三年（含三年） 而未完成学业的；</w:t>
      </w:r>
    </w:p>
    <w:p>
      <w:pPr>
        <w:pStyle w:val="2"/>
        <w:spacing w:before="28"/>
        <w:ind w:left="781"/>
        <w:rPr>
          <w:lang w:eastAsia="zh-CN"/>
        </w:rPr>
      </w:pPr>
      <w:r>
        <w:rPr>
          <w:lang w:eastAsia="zh-CN"/>
        </w:rPr>
        <w:t>（三）未经批准擅自中断学业者；</w:t>
      </w:r>
    </w:p>
    <w:p>
      <w:pPr>
        <w:pStyle w:val="2"/>
        <w:spacing w:before="120" w:line="309" w:lineRule="auto"/>
        <w:ind w:left="141" w:right="233" w:firstLine="639"/>
        <w:jc w:val="both"/>
        <w:rPr>
          <w:lang w:eastAsia="zh-CN"/>
        </w:rPr>
      </w:pPr>
      <w:r>
        <w:rPr>
          <w:lang w:eastAsia="zh-CN"/>
        </w:rPr>
        <w:t>（四）休学次数超过规定、休学期满后不办理复学手续或虽申请复学经复查不合格不准复学者；</w:t>
      </w:r>
    </w:p>
    <w:p>
      <w:pPr>
        <w:pStyle w:val="2"/>
        <w:spacing w:before="28" w:line="309" w:lineRule="auto"/>
        <w:ind w:left="141" w:right="233" w:firstLine="639"/>
        <w:jc w:val="both"/>
        <w:rPr>
          <w:lang w:eastAsia="zh-CN"/>
        </w:rPr>
      </w:pPr>
      <w:r>
        <w:rPr>
          <w:lang w:eastAsia="zh-CN"/>
        </w:rPr>
        <w:t>（五）经指定医院确诊，患严重疾病及意外伤残无法继续在学院学习者；</w:t>
      </w:r>
    </w:p>
    <w:p>
      <w:pPr>
        <w:pStyle w:val="2"/>
        <w:spacing w:before="28" w:line="309" w:lineRule="auto"/>
        <w:ind w:left="141" w:right="233" w:firstLine="639"/>
        <w:jc w:val="both"/>
        <w:rPr>
          <w:lang w:eastAsia="zh-CN"/>
        </w:rPr>
      </w:pPr>
      <w:r>
        <w:rPr>
          <w:lang w:eastAsia="zh-CN"/>
        </w:rPr>
        <w:t>（六）在校期间又考入其他学校（指占用本校学习时间的各类学校）者；</w:t>
      </w:r>
    </w:p>
    <w:p>
      <w:pPr>
        <w:pStyle w:val="2"/>
        <w:spacing w:before="28"/>
        <w:ind w:left="781"/>
        <w:rPr>
          <w:lang w:eastAsia="zh-CN"/>
        </w:rPr>
      </w:pPr>
      <w:r>
        <w:rPr>
          <w:lang w:eastAsia="zh-CN"/>
        </w:rPr>
        <w:t>（七）因病该休学而不休学，且在一学年内缺课超过该</w:t>
      </w:r>
    </w:p>
    <w:p>
      <w:pPr>
        <w:rPr>
          <w:lang w:eastAsia="zh-CN"/>
        </w:rPr>
        <w:sectPr>
          <w:pgSz w:w="11910" w:h="16840"/>
          <w:pgMar w:top="1080" w:right="1560" w:bottom="1400" w:left="1560" w:header="893" w:footer="1145" w:gutter="0"/>
          <w:cols w:space="720" w:num="1"/>
        </w:sectPr>
      </w:pPr>
    </w:p>
    <w:p>
      <w:pPr>
        <w:pStyle w:val="2"/>
        <w:rPr>
          <w:sz w:val="20"/>
          <w:lang w:eastAsia="zh-CN"/>
        </w:rPr>
      </w:pPr>
    </w:p>
    <w:p>
      <w:pPr>
        <w:pStyle w:val="2"/>
        <w:rPr>
          <w:sz w:val="20"/>
          <w:lang w:eastAsia="zh-CN"/>
        </w:rPr>
      </w:pPr>
    </w:p>
    <w:p>
      <w:pPr>
        <w:pStyle w:val="2"/>
        <w:spacing w:before="157"/>
        <w:ind w:left="141"/>
        <w:rPr>
          <w:lang w:eastAsia="zh-CN"/>
        </w:rPr>
      </w:pPr>
      <w:r>
        <w:rPr>
          <w:lang w:eastAsia="zh-CN"/>
        </w:rPr>
        <w:t>学年总学时的三分之一者；</w:t>
      </w:r>
    </w:p>
    <w:p>
      <w:pPr>
        <w:pStyle w:val="2"/>
        <w:spacing w:before="120"/>
        <w:ind w:left="781"/>
        <w:rPr>
          <w:lang w:eastAsia="zh-CN"/>
        </w:rPr>
      </w:pPr>
      <w:r>
        <w:rPr>
          <w:lang w:eastAsia="zh-CN"/>
        </w:rPr>
        <w:t>（八）学生本人要求退学，经劝说无效者；</w:t>
      </w:r>
    </w:p>
    <w:p>
      <w:pPr>
        <w:pStyle w:val="2"/>
        <w:spacing w:before="120"/>
        <w:ind w:left="781"/>
        <w:rPr>
          <w:lang w:eastAsia="zh-CN"/>
        </w:rPr>
      </w:pPr>
      <w:r>
        <w:rPr>
          <w:lang w:eastAsia="zh-CN"/>
        </w:rPr>
        <w:t>（九）超过两周未注册而又无正当事由的；</w:t>
      </w:r>
    </w:p>
    <w:p>
      <w:pPr>
        <w:pStyle w:val="2"/>
        <w:spacing w:before="120"/>
        <w:ind w:left="781"/>
        <w:rPr>
          <w:lang w:eastAsia="zh-CN"/>
        </w:rPr>
      </w:pPr>
      <w:r>
        <w:rPr>
          <w:lang w:eastAsia="zh-CN"/>
        </w:rPr>
        <w:t>按以上规定作退学处理的学生，对学生不是一种处分。</w:t>
      </w:r>
    </w:p>
    <w:p>
      <w:pPr>
        <w:pStyle w:val="2"/>
        <w:spacing w:before="120" w:line="309" w:lineRule="auto"/>
        <w:ind w:left="141" w:right="170" w:firstLine="639"/>
        <w:rPr>
          <w:lang w:eastAsia="zh-CN"/>
        </w:rPr>
      </w:pPr>
      <w:r>
        <w:rPr>
          <w:lang w:eastAsia="zh-CN"/>
        </w:rPr>
        <w:t>（十</w:t>
      </w:r>
      <w:r>
        <w:rPr>
          <w:spacing w:val="-28"/>
          <w:lang w:eastAsia="zh-CN"/>
        </w:rPr>
        <w:t>）</w:t>
      </w:r>
      <w:r>
        <w:rPr>
          <w:spacing w:val="-11"/>
          <w:lang w:eastAsia="zh-CN"/>
        </w:rPr>
        <w:t xml:space="preserve">一学期旷课超过 </w:t>
      </w:r>
      <w:r>
        <w:rPr>
          <w:lang w:eastAsia="zh-CN"/>
        </w:rPr>
        <w:t>50</w:t>
      </w:r>
      <w:r>
        <w:rPr>
          <w:spacing w:val="-13"/>
          <w:lang w:eastAsia="zh-CN"/>
        </w:rPr>
        <w:t xml:space="preserve"> 学时，经教育不改的，予以退</w:t>
      </w:r>
      <w:r>
        <w:rPr>
          <w:spacing w:val="-1"/>
          <w:lang w:eastAsia="zh-CN"/>
        </w:rPr>
        <w:t>学处理。</w:t>
      </w:r>
    </w:p>
    <w:p>
      <w:pPr>
        <w:pStyle w:val="2"/>
        <w:spacing w:before="28" w:line="309" w:lineRule="auto"/>
        <w:ind w:left="141" w:right="170" w:firstLine="639"/>
        <w:rPr>
          <w:lang w:eastAsia="zh-CN"/>
        </w:rPr>
      </w:pPr>
      <w:r>
        <w:rPr>
          <w:lang w:eastAsia="zh-CN"/>
        </w:rPr>
        <w:t>（十一）未请假离校连续两周未参加学校规定的教学活动的，予以退学处理。</w:t>
      </w:r>
    </w:p>
    <w:p>
      <w:pPr>
        <w:pStyle w:val="2"/>
        <w:tabs>
          <w:tab w:val="left" w:pos="2701"/>
        </w:tabs>
        <w:spacing w:before="28" w:line="309" w:lineRule="auto"/>
        <w:ind w:left="141" w:right="98" w:firstLine="639"/>
        <w:rPr>
          <w:lang w:eastAsia="zh-CN"/>
        </w:rPr>
      </w:pPr>
      <w:r>
        <w:rPr>
          <w:lang w:eastAsia="zh-CN"/>
        </w:rPr>
        <w:t>第五十一条</w:t>
      </w:r>
      <w:r>
        <w:rPr>
          <w:lang w:eastAsia="zh-CN"/>
        </w:rPr>
        <w:tab/>
      </w:r>
      <w:r>
        <w:rPr>
          <w:spacing w:val="-1"/>
          <w:lang w:eastAsia="zh-CN"/>
        </w:rPr>
        <w:t>对学生的退学处理</w:t>
      </w:r>
      <w:r>
        <w:rPr>
          <w:spacing w:val="-80"/>
          <w:lang w:eastAsia="zh-CN"/>
        </w:rPr>
        <w:t>，</w:t>
      </w:r>
      <w:r>
        <w:rPr>
          <w:spacing w:val="-1"/>
          <w:lang w:eastAsia="zh-CN"/>
        </w:rPr>
        <w:t xml:space="preserve">由院长会议研究批准， </w:t>
      </w:r>
      <w:r>
        <w:rPr>
          <w:lang w:eastAsia="zh-CN"/>
        </w:rPr>
        <w:t>由学院出具退学决定书送交</w:t>
      </w:r>
      <w:r>
        <w:rPr>
          <w:spacing w:val="4"/>
          <w:lang w:eastAsia="zh-CN"/>
        </w:rPr>
        <w:t>学</w:t>
      </w:r>
      <w:r>
        <w:rPr>
          <w:lang w:eastAsia="zh-CN"/>
        </w:rPr>
        <w:t>生本人，并通知学生家长（监护人</w:t>
      </w:r>
      <w:r>
        <w:rPr>
          <w:spacing w:val="-161"/>
          <w:lang w:eastAsia="zh-CN"/>
        </w:rPr>
        <w:t>）</w:t>
      </w:r>
      <w:r>
        <w:rPr>
          <w:spacing w:val="-28"/>
          <w:lang w:eastAsia="zh-CN"/>
        </w:rPr>
        <w:t>，</w:t>
      </w:r>
      <w:r>
        <w:rPr>
          <w:spacing w:val="-1"/>
          <w:lang w:eastAsia="zh-CN"/>
        </w:rPr>
        <w:t>无法送达本人的</w:t>
      </w:r>
      <w:r>
        <w:rPr>
          <w:spacing w:val="-27"/>
          <w:lang w:eastAsia="zh-CN"/>
        </w:rPr>
        <w:t>，</w:t>
      </w:r>
      <w:r>
        <w:rPr>
          <w:spacing w:val="-1"/>
          <w:lang w:eastAsia="zh-CN"/>
        </w:rPr>
        <w:t>在校内进行公示</w:t>
      </w:r>
      <w:r>
        <w:rPr>
          <w:spacing w:val="-27"/>
          <w:lang w:eastAsia="zh-CN"/>
        </w:rPr>
        <w:t>，</w:t>
      </w:r>
      <w:r>
        <w:rPr>
          <w:lang w:eastAsia="zh-CN"/>
        </w:rPr>
        <w:t>同</w:t>
      </w:r>
      <w:r>
        <w:rPr>
          <w:spacing w:val="-1"/>
          <w:lang w:eastAsia="zh-CN"/>
        </w:rPr>
        <w:t>时报省教育厅备案。</w:t>
      </w:r>
    </w:p>
    <w:p>
      <w:pPr>
        <w:pStyle w:val="2"/>
        <w:spacing w:before="28" w:line="309" w:lineRule="auto"/>
        <w:ind w:left="141" w:right="257" w:firstLine="639"/>
        <w:jc w:val="both"/>
        <w:rPr>
          <w:lang w:eastAsia="zh-CN"/>
        </w:rPr>
      </w:pPr>
      <w:r>
        <w:rPr>
          <w:lang w:eastAsia="zh-CN"/>
        </w:rPr>
        <w:t>第五十二条 学生对退学处理有异议的，可按规定的程序向学院学生申诉处理委员会和省教育厅提出申诉（参照本</w:t>
      </w:r>
      <w:r>
        <w:rPr>
          <w:spacing w:val="-1"/>
          <w:lang w:eastAsia="zh-CN"/>
        </w:rPr>
        <w:t>规定六十二、六十三、六十四、六十六条办理</w:t>
      </w:r>
      <w:r>
        <w:rPr>
          <w:spacing w:val="-161"/>
          <w:lang w:eastAsia="zh-CN"/>
        </w:rPr>
        <w:t>）</w:t>
      </w:r>
      <w:r>
        <w:rPr>
          <w:lang w:eastAsia="zh-CN"/>
        </w:rPr>
        <w:t>。</w:t>
      </w:r>
    </w:p>
    <w:p>
      <w:pPr>
        <w:pStyle w:val="2"/>
        <w:tabs>
          <w:tab w:val="left" w:pos="2005"/>
          <w:tab w:val="left" w:pos="2723"/>
        </w:tabs>
        <w:spacing w:before="28" w:line="309" w:lineRule="auto"/>
        <w:ind w:left="141" w:right="245" w:firstLine="639"/>
        <w:jc w:val="right"/>
        <w:rPr>
          <w:lang w:eastAsia="zh-CN"/>
        </w:rPr>
      </w:pPr>
      <w:r>
        <w:rPr>
          <w:lang w:eastAsia="zh-CN"/>
        </w:rPr>
        <w:t>第五十三条</w:t>
      </w:r>
      <w:r>
        <w:rPr>
          <w:lang w:eastAsia="zh-CN"/>
        </w:rPr>
        <w:tab/>
      </w:r>
      <w:r>
        <w:rPr>
          <w:lang w:eastAsia="zh-CN"/>
        </w:rPr>
        <w:t>在办理退学手续时，学院给退学学</w:t>
      </w:r>
      <w:r>
        <w:rPr>
          <w:spacing w:val="4"/>
          <w:lang w:eastAsia="zh-CN"/>
        </w:rPr>
        <w:t>生核</w:t>
      </w:r>
      <w:r>
        <w:rPr>
          <w:lang w:eastAsia="zh-CN"/>
        </w:rPr>
        <w:t>发 退学证明，并根据学习的年</w:t>
      </w:r>
      <w:r>
        <w:rPr>
          <w:spacing w:val="4"/>
          <w:lang w:eastAsia="zh-CN"/>
        </w:rPr>
        <w:t>限</w:t>
      </w:r>
      <w:r>
        <w:rPr>
          <w:lang w:eastAsia="zh-CN"/>
        </w:rPr>
        <w:t>（至少学满一年并取得相应成</w:t>
      </w:r>
      <w:r>
        <w:rPr>
          <w:spacing w:val="-2"/>
          <w:lang w:eastAsia="zh-CN"/>
        </w:rPr>
        <w:t>绩</w:t>
      </w:r>
      <w:r>
        <w:rPr>
          <w:spacing w:val="-1"/>
          <w:lang w:eastAsia="zh-CN"/>
        </w:rPr>
        <w:t>）发给肄业证书，开除学籍和退学的学生不得申请复学。</w:t>
      </w:r>
      <w:r>
        <w:rPr>
          <w:spacing w:val="-9"/>
          <w:lang w:eastAsia="zh-CN"/>
        </w:rPr>
        <w:t>第五十四</w:t>
      </w:r>
      <w:r>
        <w:rPr>
          <w:lang w:eastAsia="zh-CN"/>
        </w:rPr>
        <w:t>条</w:t>
      </w:r>
      <w:r>
        <w:rPr>
          <w:lang w:eastAsia="zh-CN"/>
        </w:rPr>
        <w:tab/>
      </w:r>
      <w:r>
        <w:rPr>
          <w:spacing w:val="-9"/>
          <w:lang w:eastAsia="zh-CN"/>
        </w:rPr>
        <w:t>退学处理的学生在规定的离校期限（三天）</w:t>
      </w:r>
    </w:p>
    <w:p>
      <w:pPr>
        <w:pStyle w:val="2"/>
        <w:spacing w:before="28" w:line="309" w:lineRule="auto"/>
        <w:ind w:left="781" w:right="2149" w:hanging="640"/>
        <w:rPr>
          <w:lang w:eastAsia="zh-CN"/>
        </w:rPr>
      </w:pPr>
      <w:r>
        <w:rPr>
          <w:spacing w:val="-9"/>
          <w:lang w:eastAsia="zh-CN"/>
        </w:rPr>
        <w:t>内离校，档案、户口退回其家庭户籍所在地。</w:t>
      </w:r>
      <w:r>
        <w:rPr>
          <w:spacing w:val="-1"/>
          <w:lang w:eastAsia="zh-CN"/>
        </w:rPr>
        <w:t>九、考勤制度</w:t>
      </w:r>
    </w:p>
    <w:p>
      <w:pPr>
        <w:pStyle w:val="2"/>
        <w:tabs>
          <w:tab w:val="left" w:pos="2701"/>
        </w:tabs>
        <w:spacing w:before="28" w:line="309" w:lineRule="auto"/>
        <w:ind w:left="141" w:right="98" w:firstLine="639"/>
        <w:rPr>
          <w:lang w:eastAsia="zh-CN"/>
        </w:rPr>
      </w:pPr>
      <w:r>
        <w:rPr>
          <w:lang w:eastAsia="zh-CN"/>
        </w:rPr>
        <w:t>第五十五条</w:t>
      </w:r>
      <w:r>
        <w:rPr>
          <w:lang w:eastAsia="zh-CN"/>
        </w:rPr>
        <w:tab/>
      </w:r>
      <w:r>
        <w:rPr>
          <w:spacing w:val="-1"/>
          <w:lang w:eastAsia="zh-CN"/>
        </w:rPr>
        <w:t>学生应严格遵守学院的考勤制度</w:t>
      </w:r>
      <w:r>
        <w:rPr>
          <w:spacing w:val="-80"/>
          <w:lang w:eastAsia="zh-CN"/>
        </w:rPr>
        <w:t>，</w:t>
      </w:r>
      <w:r>
        <w:rPr>
          <w:spacing w:val="-1"/>
          <w:lang w:eastAsia="zh-CN"/>
        </w:rPr>
        <w:t xml:space="preserve">对上课、 </w:t>
      </w:r>
      <w:r>
        <w:rPr>
          <w:lang w:eastAsia="zh-CN"/>
        </w:rPr>
        <w:t>自习、实验、实习、设计、</w:t>
      </w:r>
      <w:r>
        <w:rPr>
          <w:spacing w:val="4"/>
          <w:lang w:eastAsia="zh-CN"/>
        </w:rPr>
        <w:t>劳</w:t>
      </w:r>
      <w:r>
        <w:rPr>
          <w:lang w:eastAsia="zh-CN"/>
        </w:rPr>
        <w:t>动和参加学院组织的集体活动等，均应进行考勤。因故不</w:t>
      </w:r>
      <w:r>
        <w:rPr>
          <w:spacing w:val="4"/>
          <w:lang w:eastAsia="zh-CN"/>
        </w:rPr>
        <w:t>能</w:t>
      </w:r>
      <w:r>
        <w:rPr>
          <w:lang w:eastAsia="zh-CN"/>
        </w:rPr>
        <w:t>参加者，必须请假，凡未经请假或超假者，均以旷课论处</w:t>
      </w:r>
      <w:r>
        <w:rPr>
          <w:spacing w:val="4"/>
          <w:lang w:eastAsia="zh-CN"/>
        </w:rPr>
        <w:t>（</w:t>
      </w:r>
      <w:r>
        <w:rPr>
          <w:lang w:eastAsia="zh-CN"/>
        </w:rPr>
        <w:t>旷课一天，按六学时（实践教</w:t>
      </w:r>
    </w:p>
    <w:p>
      <w:pPr>
        <w:spacing w:line="309" w:lineRule="auto"/>
        <w:rPr>
          <w:lang w:eastAsia="zh-CN"/>
        </w:rPr>
        <w:sectPr>
          <w:pgSz w:w="11910" w:h="16840"/>
          <w:pgMar w:top="1080" w:right="1540" w:bottom="1400" w:left="1560" w:header="893" w:footer="1145" w:gutter="0"/>
          <w:cols w:space="720" w:num="1"/>
        </w:sectPr>
      </w:pPr>
    </w:p>
    <w:p>
      <w:pPr>
        <w:pStyle w:val="2"/>
        <w:rPr>
          <w:sz w:val="20"/>
          <w:lang w:eastAsia="zh-CN"/>
        </w:rPr>
      </w:pPr>
    </w:p>
    <w:p>
      <w:pPr>
        <w:pStyle w:val="2"/>
        <w:rPr>
          <w:sz w:val="20"/>
          <w:lang w:eastAsia="zh-CN"/>
        </w:rPr>
      </w:pPr>
    </w:p>
    <w:p>
      <w:pPr>
        <w:pStyle w:val="2"/>
        <w:spacing w:before="157"/>
        <w:ind w:left="112" w:right="4929"/>
        <w:jc w:val="center"/>
        <w:rPr>
          <w:lang w:eastAsia="zh-CN"/>
        </w:rPr>
      </w:pPr>
      <w:r>
        <w:rPr>
          <w:spacing w:val="-1"/>
          <w:lang w:eastAsia="zh-CN"/>
        </w:rPr>
        <w:t>学）或当天实际课时计</w:t>
      </w:r>
      <w:r>
        <w:rPr>
          <w:spacing w:val="-160"/>
          <w:lang w:eastAsia="zh-CN"/>
        </w:rPr>
        <w:t>）</w:t>
      </w:r>
      <w:r>
        <w:rPr>
          <w:lang w:eastAsia="zh-CN"/>
        </w:rPr>
        <w:t>。</w:t>
      </w:r>
    </w:p>
    <w:p>
      <w:pPr>
        <w:pStyle w:val="2"/>
        <w:spacing w:before="120" w:line="309" w:lineRule="auto"/>
        <w:ind w:left="141" w:right="160" w:firstLine="639"/>
        <w:jc w:val="both"/>
        <w:rPr>
          <w:lang w:eastAsia="zh-CN"/>
        </w:rPr>
      </w:pPr>
      <w:r>
        <w:rPr>
          <w:lang w:eastAsia="zh-CN"/>
        </w:rPr>
        <w:t>第五十六条 对旷课学生，应及时批评教育并与该课程的期末考试（考核）成绩挂钩。根据旷课时数及情节，给予</w:t>
      </w:r>
      <w:r>
        <w:rPr>
          <w:spacing w:val="-6"/>
          <w:lang w:eastAsia="zh-CN"/>
        </w:rPr>
        <w:t xml:space="preserve">批评教育，直到处分。旷课累计 </w:t>
      </w:r>
      <w:r>
        <w:rPr>
          <w:lang w:eastAsia="zh-CN"/>
        </w:rPr>
        <w:t>10</w:t>
      </w:r>
      <w:r>
        <w:rPr>
          <w:spacing w:val="-10"/>
          <w:lang w:eastAsia="zh-CN"/>
        </w:rPr>
        <w:t xml:space="preserve"> 学时的，给予警告处分； </w:t>
      </w:r>
      <w:r>
        <w:rPr>
          <w:spacing w:val="-23"/>
          <w:lang w:eastAsia="zh-CN"/>
        </w:rPr>
        <w:t xml:space="preserve">旷课累计达 </w:t>
      </w:r>
      <w:r>
        <w:rPr>
          <w:lang w:eastAsia="zh-CN"/>
        </w:rPr>
        <w:t>20</w:t>
      </w:r>
      <w:r>
        <w:rPr>
          <w:spacing w:val="-21"/>
          <w:lang w:eastAsia="zh-CN"/>
        </w:rPr>
        <w:t xml:space="preserve"> 学时的，给予严重警告处分；旷课累计达到 </w:t>
      </w:r>
      <w:r>
        <w:rPr>
          <w:lang w:eastAsia="zh-CN"/>
        </w:rPr>
        <w:t xml:space="preserve">30 </w:t>
      </w:r>
      <w:r>
        <w:rPr>
          <w:spacing w:val="-12"/>
          <w:lang w:eastAsia="zh-CN"/>
        </w:rPr>
        <w:t xml:space="preserve">学时的，给予记过处分；旷课累计达 </w:t>
      </w:r>
      <w:r>
        <w:rPr>
          <w:lang w:eastAsia="zh-CN"/>
        </w:rPr>
        <w:t>40</w:t>
      </w:r>
      <w:r>
        <w:rPr>
          <w:spacing w:val="-14"/>
          <w:lang w:eastAsia="zh-CN"/>
        </w:rPr>
        <w:t xml:space="preserve"> 学时的，给予留校察</w:t>
      </w:r>
      <w:r>
        <w:rPr>
          <w:spacing w:val="-18"/>
          <w:lang w:eastAsia="zh-CN"/>
        </w:rPr>
        <w:t xml:space="preserve">看处分；旷课累计达 </w:t>
      </w:r>
      <w:r>
        <w:rPr>
          <w:lang w:eastAsia="zh-CN"/>
        </w:rPr>
        <w:t>50</w:t>
      </w:r>
      <w:r>
        <w:rPr>
          <w:spacing w:val="-13"/>
          <w:lang w:eastAsia="zh-CN"/>
        </w:rPr>
        <w:t xml:space="preserve"> 学时，经批评教育不改的，予以退学</w:t>
      </w:r>
      <w:r>
        <w:rPr>
          <w:spacing w:val="-12"/>
          <w:lang w:eastAsia="zh-CN"/>
        </w:rPr>
        <w:t>处理；凡处分后又旷课的，处分前的旷课时数应累计计算。</w:t>
      </w:r>
      <w:r>
        <w:rPr>
          <w:spacing w:val="-1"/>
          <w:lang w:eastAsia="zh-CN"/>
        </w:rPr>
        <w:t>凡迟到三次的按旷课一学时计算。</w:t>
      </w:r>
    </w:p>
    <w:p>
      <w:pPr>
        <w:pStyle w:val="2"/>
        <w:spacing w:before="28"/>
        <w:ind w:left="781"/>
        <w:rPr>
          <w:lang w:eastAsia="zh-CN"/>
        </w:rPr>
      </w:pPr>
      <w:r>
        <w:rPr>
          <w:lang w:eastAsia="zh-CN"/>
        </w:rPr>
        <w:t>十、奖励与处分</w:t>
      </w:r>
    </w:p>
    <w:p>
      <w:pPr>
        <w:pStyle w:val="2"/>
        <w:spacing w:before="121" w:line="309" w:lineRule="auto"/>
        <w:ind w:left="141" w:right="237" w:firstLine="639"/>
        <w:jc w:val="both"/>
        <w:rPr>
          <w:lang w:eastAsia="zh-CN"/>
        </w:rPr>
      </w:pPr>
      <w:r>
        <w:rPr>
          <w:lang w:eastAsia="zh-CN"/>
        </w:rPr>
        <w:t>第五十七条 对德、智、体、美等方面全面发展或在思想品德、学业成绩、科技创造、锻炼身体、课外活动及社会服务等方面表现突出的学生，分别授予“三好学生”称号或其他单项荣誉称号，颁发奖学金等多种形式，给予相应的精神鼓励或物质奖励，有关材料应存入学生的档案。</w:t>
      </w:r>
    </w:p>
    <w:p>
      <w:pPr>
        <w:pStyle w:val="2"/>
        <w:spacing w:before="28" w:line="309" w:lineRule="auto"/>
        <w:ind w:left="141" w:right="237" w:firstLine="639"/>
        <w:jc w:val="both"/>
        <w:rPr>
          <w:lang w:eastAsia="zh-CN"/>
        </w:rPr>
      </w:pPr>
      <w:r>
        <w:rPr>
          <w:lang w:eastAsia="zh-CN"/>
        </w:rPr>
        <w:t>第五十八条 对有违法、违规、违纪行为的学生，给予和所犯错误性质及严重程度相适应的批评教育或纪律处分， 纪律处分的种类分为：</w:t>
      </w:r>
    </w:p>
    <w:p>
      <w:pPr>
        <w:pStyle w:val="2"/>
        <w:spacing w:before="28"/>
        <w:ind w:left="781"/>
        <w:rPr>
          <w:lang w:eastAsia="zh-CN"/>
        </w:rPr>
      </w:pPr>
      <w:r>
        <w:rPr>
          <w:lang w:eastAsia="zh-CN"/>
        </w:rPr>
        <w:t>（1）警告；</w:t>
      </w:r>
    </w:p>
    <w:p>
      <w:pPr>
        <w:pStyle w:val="2"/>
        <w:spacing w:before="121"/>
        <w:ind w:left="781"/>
        <w:rPr>
          <w:lang w:eastAsia="zh-CN"/>
        </w:rPr>
      </w:pPr>
      <w:r>
        <w:rPr>
          <w:lang w:eastAsia="zh-CN"/>
        </w:rPr>
        <w:t>（2）严重警告；</w:t>
      </w:r>
    </w:p>
    <w:p>
      <w:pPr>
        <w:pStyle w:val="2"/>
        <w:spacing w:before="121"/>
        <w:ind w:left="781"/>
        <w:rPr>
          <w:lang w:eastAsia="zh-CN"/>
        </w:rPr>
      </w:pPr>
      <w:r>
        <w:rPr>
          <w:lang w:eastAsia="zh-CN"/>
        </w:rPr>
        <w:t>（3）记过；</w:t>
      </w:r>
    </w:p>
    <w:p>
      <w:pPr>
        <w:pStyle w:val="2"/>
        <w:spacing w:before="121"/>
        <w:ind w:left="781"/>
        <w:rPr>
          <w:lang w:eastAsia="zh-CN"/>
        </w:rPr>
      </w:pPr>
      <w:r>
        <w:rPr>
          <w:lang w:eastAsia="zh-CN"/>
        </w:rPr>
        <w:t>（4）留校察看；</w:t>
      </w:r>
    </w:p>
    <w:p>
      <w:pPr>
        <w:pStyle w:val="2"/>
        <w:spacing w:before="121"/>
        <w:ind w:left="781"/>
        <w:rPr>
          <w:lang w:eastAsia="zh-CN"/>
        </w:rPr>
      </w:pPr>
      <w:r>
        <w:rPr>
          <w:lang w:eastAsia="zh-CN"/>
        </w:rPr>
        <w:t>（5）开除学籍。</w:t>
      </w:r>
    </w:p>
    <w:p>
      <w:pPr>
        <w:pStyle w:val="2"/>
        <w:spacing w:before="121" w:line="309" w:lineRule="auto"/>
        <w:ind w:left="141" w:right="237" w:firstLine="639"/>
        <w:jc w:val="both"/>
        <w:rPr>
          <w:lang w:eastAsia="zh-CN"/>
        </w:rPr>
      </w:pPr>
      <w:r>
        <w:rPr>
          <w:lang w:eastAsia="zh-CN"/>
        </w:rPr>
        <w:t>第五十九条 留校察看以一年为期。受留校察看处分的学生，在察看期内有显著进步表现的，可按期解除留校察看</w:t>
      </w:r>
    </w:p>
    <w:p>
      <w:pPr>
        <w:spacing w:line="309" w:lineRule="auto"/>
        <w:jc w:val="both"/>
        <w:rPr>
          <w:lang w:eastAsia="zh-CN"/>
        </w:rPr>
        <w:sectPr>
          <w:pgSz w:w="11910" w:h="16840"/>
          <w:pgMar w:top="1080" w:right="1560" w:bottom="1400" w:left="1560" w:header="893" w:footer="1145" w:gutter="0"/>
          <w:cols w:space="720" w:num="1"/>
        </w:sectPr>
      </w:pPr>
    </w:p>
    <w:p>
      <w:pPr>
        <w:pStyle w:val="2"/>
        <w:rPr>
          <w:sz w:val="20"/>
          <w:lang w:eastAsia="zh-CN"/>
        </w:rPr>
      </w:pPr>
    </w:p>
    <w:p>
      <w:pPr>
        <w:pStyle w:val="2"/>
        <w:rPr>
          <w:sz w:val="20"/>
          <w:lang w:eastAsia="zh-CN"/>
        </w:rPr>
      </w:pPr>
    </w:p>
    <w:p>
      <w:pPr>
        <w:pStyle w:val="2"/>
        <w:spacing w:before="157" w:line="309" w:lineRule="auto"/>
        <w:ind w:left="141" w:right="43"/>
        <w:rPr>
          <w:lang w:eastAsia="zh-CN"/>
        </w:rPr>
      </w:pPr>
      <w:r>
        <w:rPr>
          <w:spacing w:val="-10"/>
          <w:lang w:eastAsia="zh-CN"/>
        </w:rPr>
        <w:t xml:space="preserve">处分察看期；有突出表现的可提前解除留校察看处分察看期； </w:t>
      </w:r>
      <w:r>
        <w:rPr>
          <w:spacing w:val="-9"/>
          <w:lang w:eastAsia="zh-CN"/>
        </w:rPr>
        <w:t xml:space="preserve">留校察看期间经教育不改者或有违纪行为的，视情节轻重， </w:t>
      </w:r>
      <w:r>
        <w:rPr>
          <w:spacing w:val="-8"/>
          <w:lang w:eastAsia="zh-CN"/>
        </w:rPr>
        <w:t>给予延长留校察看期一年或开除学籍处分。毕业时未解除留</w:t>
      </w:r>
      <w:r>
        <w:rPr>
          <w:spacing w:val="-1"/>
          <w:lang w:eastAsia="zh-CN"/>
        </w:rPr>
        <w:t>校察看处分的按结业处理。</w:t>
      </w:r>
    </w:p>
    <w:p>
      <w:pPr>
        <w:pStyle w:val="2"/>
        <w:spacing w:before="28" w:line="309" w:lineRule="auto"/>
        <w:ind w:left="141" w:right="277" w:firstLine="639"/>
        <w:jc w:val="both"/>
        <w:rPr>
          <w:lang w:eastAsia="zh-CN"/>
        </w:rPr>
      </w:pPr>
      <w:r>
        <w:rPr>
          <w:spacing w:val="-7"/>
          <w:lang w:eastAsia="zh-CN"/>
        </w:rPr>
        <w:t>第六十条 记过以下的处分无需发文解除处分，根据所给予的处分类别，警告处分在一个月内、严重警告处分三个月内、记过处分六个月内经系部考核，积极参与志愿者活动同</w:t>
      </w:r>
      <w:r>
        <w:rPr>
          <w:spacing w:val="-1"/>
          <w:lang w:eastAsia="zh-CN"/>
        </w:rPr>
        <w:t>时无再违纪违规现象，则自动解除处分。</w:t>
      </w:r>
    </w:p>
    <w:p>
      <w:pPr>
        <w:pStyle w:val="2"/>
        <w:spacing w:before="28" w:line="309" w:lineRule="auto"/>
        <w:ind w:left="141" w:right="279" w:firstLine="639"/>
        <w:jc w:val="both"/>
        <w:rPr>
          <w:lang w:eastAsia="zh-CN"/>
        </w:rPr>
      </w:pPr>
      <w:r>
        <w:rPr>
          <w:lang w:eastAsia="zh-CN"/>
        </w:rPr>
        <w:t>第六十一条 有下列情形之一的学生，给予开除学籍的处分：</w:t>
      </w:r>
    </w:p>
    <w:p>
      <w:pPr>
        <w:pStyle w:val="2"/>
        <w:spacing w:before="28" w:line="309" w:lineRule="auto"/>
        <w:ind w:left="141" w:right="273" w:firstLine="639"/>
        <w:jc w:val="both"/>
        <w:rPr>
          <w:lang w:eastAsia="zh-CN"/>
        </w:rPr>
      </w:pPr>
      <w:r>
        <w:rPr>
          <w:lang w:eastAsia="zh-CN"/>
        </w:rPr>
        <w:t>（一）违反宪法，反对四项基本原则、破坏安定团结、扰乱社会秩序的。</w:t>
      </w:r>
    </w:p>
    <w:p>
      <w:pPr>
        <w:pStyle w:val="2"/>
        <w:spacing w:before="28"/>
        <w:ind w:left="781"/>
        <w:rPr>
          <w:lang w:eastAsia="zh-CN"/>
        </w:rPr>
      </w:pPr>
      <w:r>
        <w:rPr>
          <w:lang w:eastAsia="zh-CN"/>
        </w:rPr>
        <w:t>（二）触犯国家法律，构成刑事犯罪的。</w:t>
      </w:r>
    </w:p>
    <w:p>
      <w:pPr>
        <w:pStyle w:val="2"/>
        <w:spacing w:before="120"/>
        <w:ind w:left="781"/>
        <w:rPr>
          <w:lang w:eastAsia="zh-CN"/>
        </w:rPr>
      </w:pPr>
      <w:r>
        <w:rPr>
          <w:lang w:eastAsia="zh-CN"/>
        </w:rPr>
        <w:t>（三）违反治安管理规定受到处罚，性质恶劣的。</w:t>
      </w:r>
    </w:p>
    <w:p>
      <w:pPr>
        <w:pStyle w:val="2"/>
        <w:spacing w:before="120" w:line="309" w:lineRule="auto"/>
        <w:ind w:left="141" w:right="273" w:firstLine="639"/>
        <w:jc w:val="both"/>
        <w:rPr>
          <w:lang w:eastAsia="zh-CN"/>
        </w:rPr>
      </w:pPr>
      <w:r>
        <w:rPr>
          <w:lang w:eastAsia="zh-CN"/>
        </w:rPr>
        <w:t>（四）由他人代替考试、替他人参加考试、组织作弊、使用通讯设备作弊情节严重的。</w:t>
      </w:r>
    </w:p>
    <w:p>
      <w:pPr>
        <w:pStyle w:val="2"/>
        <w:spacing w:before="28" w:line="309" w:lineRule="auto"/>
        <w:ind w:left="141" w:right="273" w:firstLine="639"/>
        <w:jc w:val="both"/>
        <w:rPr>
          <w:lang w:eastAsia="zh-CN"/>
        </w:rPr>
      </w:pPr>
      <w:r>
        <w:rPr>
          <w:lang w:eastAsia="zh-CN"/>
        </w:rPr>
        <w:t>（五）剽窃、抄袭他人研究成果，由他人代替、替他人撰写论文或买卖学术论文情节严重的。</w:t>
      </w:r>
    </w:p>
    <w:p>
      <w:pPr>
        <w:pStyle w:val="2"/>
        <w:spacing w:before="28" w:line="309" w:lineRule="auto"/>
        <w:ind w:left="141" w:right="273" w:firstLine="639"/>
        <w:jc w:val="both"/>
        <w:rPr>
          <w:lang w:eastAsia="zh-CN"/>
        </w:rPr>
      </w:pPr>
      <w:r>
        <w:rPr>
          <w:lang w:eastAsia="zh-CN"/>
        </w:rPr>
        <w:t>（六）违反学校规定，严重影响学校教育教学秩序、生活秩序以及公共场所管理秩序，侵害其他个人、组织合法权益，造成严重后果的。</w:t>
      </w:r>
    </w:p>
    <w:p>
      <w:pPr>
        <w:pStyle w:val="2"/>
        <w:tabs>
          <w:tab w:val="left" w:pos="2723"/>
        </w:tabs>
        <w:spacing w:before="28" w:line="309" w:lineRule="auto"/>
        <w:ind w:left="781" w:right="119"/>
        <w:rPr>
          <w:lang w:eastAsia="zh-CN"/>
        </w:rPr>
      </w:pPr>
      <w:r>
        <w:rPr>
          <w:spacing w:val="-1"/>
          <w:lang w:eastAsia="zh-CN"/>
        </w:rPr>
        <w:t>（七</w:t>
      </w:r>
      <w:r>
        <w:rPr>
          <w:spacing w:val="-41"/>
          <w:lang w:eastAsia="zh-CN"/>
        </w:rPr>
        <w:t>）</w:t>
      </w:r>
      <w:r>
        <w:rPr>
          <w:spacing w:val="-1"/>
          <w:lang w:eastAsia="zh-CN"/>
        </w:rPr>
        <w:t>屡次违反学</w:t>
      </w:r>
      <w:r>
        <w:rPr>
          <w:lang w:eastAsia="zh-CN"/>
        </w:rPr>
        <w:t>校规定受到纪律处分</w:t>
      </w:r>
      <w:r>
        <w:rPr>
          <w:spacing w:val="-41"/>
          <w:lang w:eastAsia="zh-CN"/>
        </w:rPr>
        <w:t>，</w:t>
      </w:r>
      <w:r>
        <w:rPr>
          <w:lang w:eastAsia="zh-CN"/>
        </w:rPr>
        <w:t>经教育不改的。第六十二条</w:t>
      </w:r>
      <w:r>
        <w:rPr>
          <w:lang w:eastAsia="zh-CN"/>
        </w:rPr>
        <w:tab/>
      </w:r>
      <w:r>
        <w:rPr>
          <w:lang w:eastAsia="zh-CN"/>
        </w:rPr>
        <w:t>对犯错误的学生，要加强教育，促</w:t>
      </w:r>
      <w:r>
        <w:rPr>
          <w:spacing w:val="4"/>
          <w:lang w:eastAsia="zh-CN"/>
        </w:rPr>
        <w:t>其认</w:t>
      </w:r>
      <w:r>
        <w:rPr>
          <w:lang w:eastAsia="zh-CN"/>
        </w:rPr>
        <w:t>错</w:t>
      </w:r>
    </w:p>
    <w:p>
      <w:pPr>
        <w:pStyle w:val="2"/>
        <w:spacing w:before="28" w:line="309" w:lineRule="auto"/>
        <w:ind w:left="141" w:right="29"/>
        <w:rPr>
          <w:lang w:eastAsia="zh-CN"/>
        </w:rPr>
      </w:pPr>
      <w:r>
        <w:rPr>
          <w:lang w:eastAsia="zh-CN"/>
        </w:rPr>
        <w:t>改正；必须处理的，要坚持实事求是的原则，要在证据充分、依据明确的基础上，按照规定的程序，做出慎重而适当的处</w:t>
      </w:r>
    </w:p>
    <w:p>
      <w:pPr>
        <w:spacing w:line="309" w:lineRule="auto"/>
        <w:rPr>
          <w:lang w:eastAsia="zh-CN"/>
        </w:rPr>
        <w:sectPr>
          <w:pgSz w:w="11910" w:h="16840"/>
          <w:pgMar w:top="1080" w:right="1520" w:bottom="1400" w:left="1560" w:header="893" w:footer="1145" w:gutter="0"/>
          <w:cols w:space="720" w:num="1"/>
        </w:sectPr>
      </w:pPr>
    </w:p>
    <w:p>
      <w:pPr>
        <w:pStyle w:val="2"/>
        <w:rPr>
          <w:sz w:val="20"/>
          <w:lang w:eastAsia="zh-CN"/>
        </w:rPr>
      </w:pPr>
    </w:p>
    <w:p>
      <w:pPr>
        <w:pStyle w:val="2"/>
        <w:rPr>
          <w:sz w:val="20"/>
          <w:lang w:eastAsia="zh-CN"/>
        </w:rPr>
      </w:pPr>
    </w:p>
    <w:p>
      <w:pPr>
        <w:pStyle w:val="2"/>
        <w:spacing w:before="157"/>
        <w:ind w:left="141"/>
        <w:rPr>
          <w:lang w:eastAsia="zh-CN"/>
        </w:rPr>
      </w:pPr>
      <w:r>
        <w:rPr>
          <w:lang w:eastAsia="zh-CN"/>
        </w:rPr>
        <w:t>理。</w:t>
      </w:r>
    </w:p>
    <w:p>
      <w:pPr>
        <w:pStyle w:val="2"/>
        <w:tabs>
          <w:tab w:val="left" w:pos="2723"/>
        </w:tabs>
        <w:spacing w:before="120"/>
        <w:ind w:left="781"/>
        <w:rPr>
          <w:lang w:eastAsia="zh-CN"/>
        </w:rPr>
      </w:pPr>
      <w:r>
        <w:rPr>
          <w:lang w:eastAsia="zh-CN"/>
        </w:rPr>
        <w:t>第六十三条</w:t>
      </w:r>
      <w:r>
        <w:rPr>
          <w:lang w:eastAsia="zh-CN"/>
        </w:rPr>
        <w:tab/>
      </w:r>
      <w:r>
        <w:rPr>
          <w:lang w:eastAsia="zh-CN"/>
        </w:rPr>
        <w:t>学院对学生作出处理决定之前，记</w:t>
      </w:r>
      <w:r>
        <w:rPr>
          <w:spacing w:val="4"/>
          <w:lang w:eastAsia="zh-CN"/>
        </w:rPr>
        <w:t>过以</w:t>
      </w:r>
      <w:r>
        <w:rPr>
          <w:lang w:eastAsia="zh-CN"/>
        </w:rPr>
        <w:t>下</w:t>
      </w:r>
    </w:p>
    <w:p>
      <w:pPr>
        <w:pStyle w:val="2"/>
        <w:spacing w:before="1"/>
        <w:rPr>
          <w:sz w:val="9"/>
          <w:lang w:eastAsia="zh-CN"/>
        </w:rPr>
      </w:pPr>
    </w:p>
    <w:p>
      <w:pPr>
        <w:pStyle w:val="2"/>
        <w:spacing w:before="2" w:line="309" w:lineRule="auto"/>
        <w:ind w:left="141" w:right="237"/>
        <w:jc w:val="both"/>
        <w:rPr>
          <w:lang w:eastAsia="zh-CN"/>
        </w:rPr>
      </w:pPr>
      <w:r>
        <w:rPr>
          <w:lang w:eastAsia="zh-CN"/>
        </w:rPr>
        <w:t>（含记过）处分的，由系（部）下达学生违纪情况通知书送达违纪学生，违纪学生须在通知书上签字确认违纪事实或提出申辩要求；记过以上处分的，由报批系（部）或处分主管部门下达学生违纪情况通知书，由系（部）送达违纪学生签字确认违纪事实或提出申辩要求，由违纪学生所在系部将学生签字确认的违纪通知书上报学院处分主管部门，由处分主管部门行文下达处分决定，公布处理结果。</w:t>
      </w:r>
    </w:p>
    <w:p>
      <w:pPr>
        <w:pStyle w:val="2"/>
        <w:spacing w:before="28" w:line="309" w:lineRule="auto"/>
        <w:ind w:left="141" w:right="237" w:firstLine="639"/>
        <w:jc w:val="both"/>
        <w:rPr>
          <w:lang w:eastAsia="zh-CN"/>
        </w:rPr>
      </w:pPr>
      <w:r>
        <w:rPr>
          <w:lang w:eastAsia="zh-CN"/>
        </w:rPr>
        <w:t>第六十四条 学院成立由院长、分管院领导、处分主管部门、系（部）领导、辅导员、学生代表组成的学生申诉处理委员会，受理学生对违纪处理的申诉。</w:t>
      </w:r>
    </w:p>
    <w:p>
      <w:pPr>
        <w:pStyle w:val="2"/>
        <w:spacing w:before="28" w:line="309" w:lineRule="auto"/>
        <w:ind w:left="141" w:right="237" w:firstLine="639"/>
        <w:jc w:val="both"/>
        <w:rPr>
          <w:lang w:eastAsia="zh-CN"/>
        </w:rPr>
      </w:pPr>
      <w:r>
        <w:rPr>
          <w:lang w:eastAsia="zh-CN"/>
        </w:rPr>
        <w:t>第六十五条 学生对处分有异议的，在接到处分决定书</w:t>
      </w:r>
      <w:r>
        <w:rPr>
          <w:spacing w:val="-23"/>
          <w:lang w:eastAsia="zh-CN"/>
        </w:rPr>
        <w:t xml:space="preserve">起 </w:t>
      </w:r>
      <w:r>
        <w:rPr>
          <w:lang w:eastAsia="zh-CN"/>
        </w:rPr>
        <w:t>5</w:t>
      </w:r>
      <w:r>
        <w:rPr>
          <w:spacing w:val="-7"/>
          <w:lang w:eastAsia="zh-CN"/>
        </w:rPr>
        <w:t xml:space="preserve"> 个工作日内，以书面形式向学院学生申诉处理委员会提出申诉，提出详实的申诉理由和材料，由学生所在系</w:t>
      </w:r>
      <w:r>
        <w:rPr>
          <w:lang w:eastAsia="zh-CN"/>
        </w:rPr>
        <w:t xml:space="preserve">（部） </w:t>
      </w:r>
      <w:r>
        <w:rPr>
          <w:spacing w:val="-4"/>
          <w:lang w:eastAsia="zh-CN"/>
        </w:rPr>
        <w:t xml:space="preserve">受理，转送学生申诉处理委员会复查，申诉处理委员会在 </w:t>
      </w:r>
      <w:r>
        <w:rPr>
          <w:lang w:eastAsia="zh-CN"/>
        </w:rPr>
        <w:t>15 个工作日内，作出复查结论并告知申诉人。需要改变处分的</w:t>
      </w:r>
      <w:r>
        <w:rPr>
          <w:spacing w:val="-1"/>
          <w:lang w:eastAsia="zh-CN"/>
        </w:rPr>
        <w:t>按批准权限提交主管部门呈报院长会议重新研究决定。</w:t>
      </w:r>
    </w:p>
    <w:p>
      <w:pPr>
        <w:pStyle w:val="2"/>
        <w:spacing w:before="28" w:line="309" w:lineRule="auto"/>
        <w:ind w:left="141" w:right="239" w:firstLine="639"/>
        <w:jc w:val="both"/>
        <w:rPr>
          <w:lang w:eastAsia="zh-CN"/>
        </w:rPr>
      </w:pPr>
      <w:r>
        <w:rPr>
          <w:lang w:eastAsia="zh-CN"/>
        </w:rPr>
        <w:t>第六十六条 学生对复查决定有异议的，在接到学院复</w:t>
      </w:r>
      <w:r>
        <w:rPr>
          <w:spacing w:val="-11"/>
          <w:lang w:eastAsia="zh-CN"/>
        </w:rPr>
        <w:t xml:space="preserve">查决定书之日起 </w:t>
      </w:r>
      <w:r>
        <w:rPr>
          <w:lang w:eastAsia="zh-CN"/>
        </w:rPr>
        <w:t>15</w:t>
      </w:r>
      <w:r>
        <w:rPr>
          <w:spacing w:val="-14"/>
          <w:lang w:eastAsia="zh-CN"/>
        </w:rPr>
        <w:t xml:space="preserve"> 个工作日内，可以向省教育厅提出书面申</w:t>
      </w:r>
      <w:r>
        <w:rPr>
          <w:spacing w:val="-1"/>
          <w:lang w:eastAsia="zh-CN"/>
        </w:rPr>
        <w:t>诉。</w:t>
      </w:r>
    </w:p>
    <w:p>
      <w:pPr>
        <w:pStyle w:val="2"/>
        <w:tabs>
          <w:tab w:val="left" w:pos="2723"/>
        </w:tabs>
        <w:spacing w:before="28" w:line="309" w:lineRule="auto"/>
        <w:ind w:left="141" w:right="239" w:firstLine="639"/>
        <w:rPr>
          <w:lang w:eastAsia="zh-CN"/>
        </w:rPr>
      </w:pPr>
      <w:r>
        <w:rPr>
          <w:lang w:eastAsia="zh-CN"/>
        </w:rPr>
        <w:t>第六十七条</w:t>
      </w:r>
      <w:r>
        <w:rPr>
          <w:lang w:eastAsia="zh-CN"/>
        </w:rPr>
        <w:tab/>
      </w:r>
      <w:r>
        <w:rPr>
          <w:lang w:eastAsia="zh-CN"/>
        </w:rPr>
        <w:t>受处理学生在规定的申诉期内未提</w:t>
      </w:r>
      <w:r>
        <w:rPr>
          <w:spacing w:val="4"/>
          <w:lang w:eastAsia="zh-CN"/>
        </w:rPr>
        <w:t>出申</w:t>
      </w:r>
      <w:r>
        <w:rPr>
          <w:lang w:eastAsia="zh-CN"/>
        </w:rPr>
        <w:t xml:space="preserve">诉 </w:t>
      </w:r>
      <w:r>
        <w:rPr>
          <w:spacing w:val="-1"/>
          <w:lang w:eastAsia="zh-CN"/>
        </w:rPr>
        <w:t>的，学院或省教育厅不再受理其提出的申诉。</w:t>
      </w:r>
    </w:p>
    <w:p>
      <w:pPr>
        <w:pStyle w:val="2"/>
        <w:tabs>
          <w:tab w:val="left" w:pos="2723"/>
        </w:tabs>
        <w:spacing w:before="28" w:line="309" w:lineRule="auto"/>
        <w:ind w:left="141" w:right="239" w:firstLine="639"/>
        <w:rPr>
          <w:lang w:eastAsia="zh-CN"/>
        </w:rPr>
      </w:pPr>
      <w:r>
        <w:rPr>
          <w:lang w:eastAsia="zh-CN"/>
        </w:rPr>
        <w:t>第六十八条</w:t>
      </w:r>
      <w:r>
        <w:rPr>
          <w:lang w:eastAsia="zh-CN"/>
        </w:rPr>
        <w:tab/>
      </w:r>
      <w:r>
        <w:rPr>
          <w:lang w:eastAsia="zh-CN"/>
        </w:rPr>
        <w:t>对受处分的学生，退学处理和开除</w:t>
      </w:r>
      <w:r>
        <w:rPr>
          <w:spacing w:val="4"/>
          <w:lang w:eastAsia="zh-CN"/>
        </w:rPr>
        <w:t>学籍</w:t>
      </w:r>
      <w:r>
        <w:rPr>
          <w:lang w:eastAsia="zh-CN"/>
        </w:rPr>
        <w:t xml:space="preserve">的 </w:t>
      </w:r>
      <w:r>
        <w:rPr>
          <w:spacing w:val="-1"/>
          <w:lang w:eastAsia="zh-CN"/>
        </w:rPr>
        <w:t>除外，有显著进步表现的可以撤销其处分。</w:t>
      </w:r>
    </w:p>
    <w:p>
      <w:pPr>
        <w:spacing w:line="309" w:lineRule="auto"/>
        <w:rPr>
          <w:lang w:eastAsia="zh-CN"/>
        </w:rPr>
        <w:sectPr>
          <w:pgSz w:w="11910" w:h="16840"/>
          <w:pgMar w:top="1080" w:right="1560" w:bottom="1400" w:left="1560" w:header="893" w:footer="1145" w:gutter="0"/>
          <w:cols w:space="720" w:num="1"/>
        </w:sectPr>
      </w:pPr>
    </w:p>
    <w:p>
      <w:pPr>
        <w:pStyle w:val="2"/>
        <w:rPr>
          <w:sz w:val="20"/>
          <w:lang w:eastAsia="zh-CN"/>
        </w:rPr>
      </w:pPr>
    </w:p>
    <w:p>
      <w:pPr>
        <w:pStyle w:val="2"/>
        <w:rPr>
          <w:sz w:val="20"/>
          <w:lang w:eastAsia="zh-CN"/>
        </w:rPr>
      </w:pPr>
    </w:p>
    <w:p>
      <w:pPr>
        <w:pStyle w:val="2"/>
        <w:spacing w:before="157" w:line="309" w:lineRule="auto"/>
        <w:ind w:left="141" w:right="257" w:firstLine="639"/>
        <w:jc w:val="both"/>
        <w:rPr>
          <w:lang w:eastAsia="zh-CN"/>
        </w:rPr>
      </w:pPr>
      <w:r>
        <w:rPr>
          <w:lang w:eastAsia="zh-CN"/>
        </w:rPr>
        <w:t>第六十九条 凡给予或撤销学生留校察看处分的，经学生所在系（部）办公会议讨论通过，主管部门审查，分管院长审核，院长批准；凡对学生作出退学处理或开除学籍处分的，经院长会议研究决定，并报省教育厅备案。</w:t>
      </w:r>
    </w:p>
    <w:p>
      <w:pPr>
        <w:pStyle w:val="2"/>
        <w:spacing w:before="28" w:line="309" w:lineRule="auto"/>
        <w:ind w:left="141" w:right="257" w:firstLine="639"/>
        <w:jc w:val="both"/>
        <w:rPr>
          <w:lang w:eastAsia="zh-CN"/>
        </w:rPr>
      </w:pPr>
      <w:r>
        <w:rPr>
          <w:lang w:eastAsia="zh-CN"/>
        </w:rPr>
        <w:t>第七十条 作退学处理的学生由学院按规定发给学历证明，开除学籍的学生，由学院发给学习证明。凡予以退学处理，开除学籍处分的学生，按规定限期离校，其档案、户口退回其家庭户籍所在地。</w:t>
      </w:r>
    </w:p>
    <w:p>
      <w:pPr>
        <w:pStyle w:val="2"/>
        <w:spacing w:before="28" w:line="309" w:lineRule="auto"/>
        <w:ind w:left="141" w:right="259" w:firstLine="639"/>
        <w:jc w:val="both"/>
        <w:rPr>
          <w:lang w:eastAsia="zh-CN"/>
        </w:rPr>
      </w:pPr>
      <w:r>
        <w:rPr>
          <w:lang w:eastAsia="zh-CN"/>
        </w:rPr>
        <w:t>第七十一条 学生违反考勤制度、考试违纪处理的主管部门为教务处。</w:t>
      </w:r>
    </w:p>
    <w:p>
      <w:pPr>
        <w:pStyle w:val="2"/>
        <w:tabs>
          <w:tab w:val="left" w:pos="2700"/>
        </w:tabs>
        <w:spacing w:before="28" w:line="309" w:lineRule="auto"/>
        <w:ind w:left="781" w:right="5461"/>
        <w:rPr>
          <w:lang w:eastAsia="zh-CN"/>
        </w:rPr>
      </w:pPr>
      <w:r>
        <w:rPr>
          <w:lang w:eastAsia="zh-CN"/>
        </w:rPr>
        <w:t>十一、毕业与结业第七十二条</w:t>
      </w:r>
      <w:r>
        <w:rPr>
          <w:lang w:eastAsia="zh-CN"/>
        </w:rPr>
        <w:tab/>
      </w:r>
      <w:r>
        <w:rPr>
          <w:spacing w:val="-1"/>
          <w:lang w:eastAsia="zh-CN"/>
        </w:rPr>
        <w:t>毕业</w:t>
      </w:r>
    </w:p>
    <w:p>
      <w:pPr>
        <w:pStyle w:val="2"/>
        <w:spacing w:before="28" w:line="309" w:lineRule="auto"/>
        <w:ind w:left="141" w:right="178" w:firstLine="639"/>
        <w:jc w:val="both"/>
        <w:rPr>
          <w:lang w:eastAsia="zh-CN"/>
        </w:rPr>
      </w:pPr>
      <w:r>
        <w:rPr>
          <w:spacing w:val="3"/>
          <w:lang w:eastAsia="zh-CN"/>
        </w:rPr>
        <w:t>（一）实行弹性学制，学生可自主安排学习进程，基本</w:t>
      </w:r>
      <w:r>
        <w:rPr>
          <w:spacing w:val="-21"/>
          <w:lang w:eastAsia="zh-CN"/>
        </w:rPr>
        <w:t xml:space="preserve">学制为 </w:t>
      </w:r>
      <w:r>
        <w:rPr>
          <w:lang w:eastAsia="zh-CN"/>
        </w:rPr>
        <w:t>3</w:t>
      </w:r>
      <w:r>
        <w:rPr>
          <w:spacing w:val="-17"/>
          <w:lang w:eastAsia="zh-CN"/>
        </w:rPr>
        <w:t xml:space="preserve"> 年的，允许学生在校 </w:t>
      </w:r>
      <w:r>
        <w:rPr>
          <w:lang w:eastAsia="zh-CN"/>
        </w:rPr>
        <w:t>2—6</w:t>
      </w:r>
      <w:r>
        <w:rPr>
          <w:spacing w:val="-10"/>
          <w:lang w:eastAsia="zh-CN"/>
        </w:rPr>
        <w:t xml:space="preserve"> 学年内修够毕业总学分。</w:t>
      </w:r>
      <w:r>
        <w:rPr>
          <w:spacing w:val="-23"/>
          <w:lang w:eastAsia="zh-CN"/>
        </w:rPr>
        <w:t xml:space="preserve">基本学制为 </w:t>
      </w:r>
      <w:r>
        <w:rPr>
          <w:lang w:eastAsia="zh-CN"/>
        </w:rPr>
        <w:t>2</w:t>
      </w:r>
      <w:r>
        <w:rPr>
          <w:spacing w:val="-24"/>
          <w:lang w:eastAsia="zh-CN"/>
        </w:rPr>
        <w:t xml:space="preserve"> 年的，允许学生在校 </w:t>
      </w:r>
      <w:r>
        <w:rPr>
          <w:lang w:eastAsia="zh-CN"/>
        </w:rPr>
        <w:t>2—5</w:t>
      </w:r>
      <w:r>
        <w:rPr>
          <w:spacing w:val="-10"/>
          <w:lang w:eastAsia="zh-CN"/>
        </w:rPr>
        <w:t xml:space="preserve"> 学年内修够毕业总学</w:t>
      </w:r>
      <w:r>
        <w:rPr>
          <w:spacing w:val="-1"/>
          <w:lang w:eastAsia="zh-CN"/>
        </w:rPr>
        <w:t>分。</w:t>
      </w:r>
    </w:p>
    <w:p>
      <w:pPr>
        <w:pStyle w:val="2"/>
        <w:spacing w:before="28" w:line="309" w:lineRule="auto"/>
        <w:ind w:left="141" w:right="9" w:firstLine="639"/>
        <w:rPr>
          <w:lang w:eastAsia="zh-CN"/>
        </w:rPr>
      </w:pPr>
      <w:r>
        <w:rPr>
          <w:lang w:eastAsia="zh-CN"/>
        </w:rPr>
        <w:t>（二）具有学籍的学生，按规定完成各教学环节的学业， 修满毕业总学分，德育、体育合格即准予毕业，发给毕业证书。</w:t>
      </w:r>
    </w:p>
    <w:p>
      <w:pPr>
        <w:pStyle w:val="2"/>
        <w:spacing w:before="28" w:line="309" w:lineRule="auto"/>
        <w:ind w:left="141" w:right="253" w:firstLine="639"/>
        <w:jc w:val="both"/>
        <w:rPr>
          <w:lang w:eastAsia="zh-CN"/>
        </w:rPr>
      </w:pPr>
      <w:r>
        <w:rPr>
          <w:spacing w:val="3"/>
          <w:lang w:eastAsia="zh-CN"/>
        </w:rPr>
        <w:t>（三）在基本学制年限内提前修完规定的总学分，且所</w:t>
      </w:r>
      <w:r>
        <w:rPr>
          <w:spacing w:val="-5"/>
          <w:lang w:eastAsia="zh-CN"/>
        </w:rPr>
        <w:t xml:space="preserve">学课程的平均绩点在 </w:t>
      </w:r>
      <w:r>
        <w:rPr>
          <w:lang w:eastAsia="zh-CN"/>
        </w:rPr>
        <w:t>3</w:t>
      </w:r>
      <w:r>
        <w:rPr>
          <w:spacing w:val="-7"/>
          <w:lang w:eastAsia="zh-CN"/>
        </w:rPr>
        <w:t xml:space="preserve"> 以上的学生，允许提前一年毕业。申请提前毕业的学生，需按基本学制(二年或三年)缴全学费， </w:t>
      </w:r>
      <w:r>
        <w:rPr>
          <w:spacing w:val="-18"/>
          <w:lang w:eastAsia="zh-CN"/>
        </w:rPr>
        <w:t>由本人填写《提前毕业申请表》，经系主任签注意见，教务处</w:t>
      </w:r>
      <w:r>
        <w:rPr>
          <w:spacing w:val="-15"/>
          <w:lang w:eastAsia="zh-CN"/>
        </w:rPr>
        <w:t>审查、分管院长审核、院长批准，呈报省教育厅核准后，通</w:t>
      </w:r>
      <w:r>
        <w:rPr>
          <w:spacing w:val="-1"/>
          <w:lang w:eastAsia="zh-CN"/>
        </w:rPr>
        <w:t>知各系和院学生管理相关部门办理毕业手续。</w:t>
      </w:r>
    </w:p>
    <w:p>
      <w:pPr>
        <w:spacing w:line="309" w:lineRule="auto"/>
        <w:jc w:val="both"/>
        <w:rPr>
          <w:lang w:eastAsia="zh-CN"/>
        </w:rPr>
        <w:sectPr>
          <w:pgSz w:w="11910" w:h="16840"/>
          <w:pgMar w:top="1080" w:right="1540" w:bottom="1400" w:left="1560" w:header="893" w:footer="1145" w:gutter="0"/>
          <w:cols w:space="720" w:num="1"/>
        </w:sectPr>
      </w:pPr>
    </w:p>
    <w:p>
      <w:pPr>
        <w:pStyle w:val="2"/>
        <w:rPr>
          <w:sz w:val="20"/>
          <w:lang w:eastAsia="zh-CN"/>
        </w:rPr>
      </w:pPr>
    </w:p>
    <w:p>
      <w:pPr>
        <w:pStyle w:val="2"/>
        <w:rPr>
          <w:sz w:val="20"/>
          <w:lang w:eastAsia="zh-CN"/>
        </w:rPr>
      </w:pPr>
    </w:p>
    <w:p>
      <w:pPr>
        <w:pStyle w:val="2"/>
        <w:spacing w:before="157" w:line="309" w:lineRule="auto"/>
        <w:ind w:left="141" w:right="90" w:firstLine="639"/>
        <w:rPr>
          <w:lang w:eastAsia="zh-CN"/>
        </w:rPr>
      </w:pPr>
      <w:r>
        <w:rPr>
          <w:spacing w:val="3"/>
          <w:lang w:eastAsia="zh-CN"/>
        </w:rPr>
        <w:t>（四）在基本学制年限内未修完毕业总学分，以及中途</w:t>
      </w:r>
      <w:r>
        <w:rPr>
          <w:spacing w:val="-1"/>
          <w:lang w:eastAsia="zh-CN"/>
        </w:rPr>
        <w:t>需要停学的学生，允许延期毕业，延续时间累计最多不超过</w:t>
      </w:r>
      <w:r>
        <w:rPr>
          <w:spacing w:val="-14"/>
          <w:lang w:eastAsia="zh-CN"/>
        </w:rPr>
        <w:t>二年。学生要求延期毕业，须本人申请，系主任签注意见，由</w:t>
      </w:r>
      <w:r>
        <w:rPr>
          <w:spacing w:val="-24"/>
          <w:lang w:eastAsia="zh-CN"/>
        </w:rPr>
        <w:t>教务处审查、分管院长审核、报院长批准。学生在校延续期间， 按在校生所需的缴纳学费和住宿等费用。若本人不愿延期，按</w:t>
      </w:r>
      <w:r>
        <w:rPr>
          <w:spacing w:val="-9"/>
          <w:lang w:eastAsia="zh-CN"/>
        </w:rPr>
        <w:t>结业或肄业处理。</w:t>
      </w:r>
    </w:p>
    <w:p>
      <w:pPr>
        <w:pStyle w:val="2"/>
        <w:tabs>
          <w:tab w:val="left" w:pos="2700"/>
        </w:tabs>
        <w:spacing w:before="28"/>
        <w:ind w:left="781"/>
        <w:rPr>
          <w:lang w:eastAsia="zh-CN"/>
        </w:rPr>
      </w:pPr>
      <w:r>
        <w:rPr>
          <w:lang w:eastAsia="zh-CN"/>
        </w:rPr>
        <w:t>第七十三条</w:t>
      </w:r>
      <w:r>
        <w:rPr>
          <w:lang w:eastAsia="zh-CN"/>
        </w:rPr>
        <w:tab/>
      </w:r>
      <w:r>
        <w:rPr>
          <w:spacing w:val="-1"/>
          <w:lang w:eastAsia="zh-CN"/>
        </w:rPr>
        <w:t>结业</w:t>
      </w:r>
    </w:p>
    <w:p>
      <w:pPr>
        <w:pStyle w:val="2"/>
        <w:spacing w:before="121" w:line="309" w:lineRule="auto"/>
        <w:ind w:left="141" w:right="170" w:firstLine="639"/>
        <w:rPr>
          <w:lang w:eastAsia="zh-CN"/>
        </w:rPr>
      </w:pPr>
      <w:r>
        <w:rPr>
          <w:lang w:eastAsia="zh-CN"/>
        </w:rPr>
        <w:t>学生遇有下列情形之一者，须作结业处理，由学院发给结业证书。</w:t>
      </w:r>
    </w:p>
    <w:p>
      <w:pPr>
        <w:pStyle w:val="2"/>
        <w:spacing w:before="28" w:line="309" w:lineRule="auto"/>
        <w:ind w:left="141" w:right="99" w:firstLine="639"/>
        <w:rPr>
          <w:lang w:eastAsia="zh-CN"/>
        </w:rPr>
      </w:pPr>
      <w:r>
        <w:rPr>
          <w:spacing w:val="3"/>
          <w:lang w:eastAsia="zh-CN"/>
        </w:rPr>
        <w:t>（一）在基本学制年限内未修满毕业总学分，累计未取</w:t>
      </w:r>
      <w:r>
        <w:rPr>
          <w:spacing w:val="8"/>
          <w:lang w:eastAsia="zh-CN"/>
        </w:rPr>
        <w:t>得的学分达</w:t>
      </w:r>
      <w:r>
        <w:rPr>
          <w:lang w:eastAsia="zh-CN"/>
        </w:rPr>
        <w:t>17</w:t>
      </w:r>
      <w:r>
        <w:rPr>
          <w:spacing w:val="-25"/>
          <w:lang w:eastAsia="zh-CN"/>
        </w:rPr>
        <w:t xml:space="preserve"> 学分以上而又不愿延期毕业</w:t>
      </w:r>
      <w:r>
        <w:rPr>
          <w:lang w:eastAsia="zh-CN"/>
        </w:rPr>
        <w:t xml:space="preserve">（经家长书面同意） </w:t>
      </w:r>
      <w:r>
        <w:rPr>
          <w:spacing w:val="-14"/>
          <w:lang w:eastAsia="zh-CN"/>
        </w:rPr>
        <w:t xml:space="preserve">者，作永久结业处理；累计未取得的学分在 </w:t>
      </w:r>
      <w:r>
        <w:rPr>
          <w:lang w:eastAsia="zh-CN"/>
        </w:rPr>
        <w:t>17</w:t>
      </w:r>
      <w:r>
        <w:rPr>
          <w:spacing w:val="-13"/>
          <w:lang w:eastAsia="zh-CN"/>
        </w:rPr>
        <w:t xml:space="preserve"> 学分以下者允</w:t>
      </w:r>
      <w:r>
        <w:rPr>
          <w:spacing w:val="-12"/>
          <w:lang w:eastAsia="zh-CN"/>
        </w:rPr>
        <w:t>许领取结业证书后二年内回校重修未取得学分的课程，修满</w:t>
      </w:r>
      <w:r>
        <w:rPr>
          <w:spacing w:val="-11"/>
          <w:lang w:eastAsia="zh-CN"/>
        </w:rPr>
        <w:t>学分后，换发毕业证书。如重修后仍未取满学分，作永久性</w:t>
      </w:r>
      <w:r>
        <w:rPr>
          <w:spacing w:val="-10"/>
          <w:lang w:eastAsia="zh-CN"/>
        </w:rPr>
        <w:t>结业处理。特殊情况，经院长批准，方可重修，成绩合格可</w:t>
      </w:r>
      <w:r>
        <w:rPr>
          <w:spacing w:val="-1"/>
          <w:lang w:eastAsia="zh-CN"/>
        </w:rPr>
        <w:t>换发毕业证书，毕业时间按发证日期填写。</w:t>
      </w:r>
    </w:p>
    <w:p>
      <w:pPr>
        <w:pStyle w:val="2"/>
        <w:spacing w:before="28" w:line="309" w:lineRule="auto"/>
        <w:ind w:left="141" w:right="170" w:firstLine="639"/>
        <w:rPr>
          <w:lang w:eastAsia="zh-CN"/>
        </w:rPr>
      </w:pPr>
      <w:r>
        <w:rPr>
          <w:spacing w:val="3"/>
          <w:lang w:eastAsia="zh-CN"/>
        </w:rPr>
        <w:t>（二）受留校察看处分，在毕业时未解除处分的按结业</w:t>
      </w:r>
      <w:r>
        <w:rPr>
          <w:lang w:eastAsia="zh-CN"/>
        </w:rPr>
        <w:t>处理，发给结业证书。在弹性学制内，留校察看期满后无不</w:t>
      </w:r>
      <w:r>
        <w:rPr>
          <w:spacing w:val="-9"/>
          <w:lang w:eastAsia="zh-CN"/>
        </w:rPr>
        <w:t>良表现的，由本人提出申请，经教务处审查、分管院长审核、</w:t>
      </w:r>
      <w:r>
        <w:rPr>
          <w:spacing w:val="-8"/>
          <w:lang w:eastAsia="zh-CN"/>
        </w:rPr>
        <w:t>报院长批准后，可予以换发毕业证书。毕业时间按发证日期</w:t>
      </w:r>
      <w:r>
        <w:rPr>
          <w:spacing w:val="-1"/>
          <w:lang w:eastAsia="zh-CN"/>
        </w:rPr>
        <w:t>填写。</w:t>
      </w:r>
    </w:p>
    <w:p>
      <w:pPr>
        <w:pStyle w:val="2"/>
        <w:spacing w:before="28"/>
        <w:ind w:left="781"/>
        <w:rPr>
          <w:lang w:eastAsia="zh-CN"/>
        </w:rPr>
      </w:pPr>
      <w:r>
        <w:rPr>
          <w:lang w:eastAsia="zh-CN"/>
        </w:rPr>
        <w:t>（三）虽经延长学制二年而仍未能完成学业者。</w:t>
      </w:r>
    </w:p>
    <w:p>
      <w:pPr>
        <w:pStyle w:val="2"/>
        <w:spacing w:before="121" w:line="309" w:lineRule="auto"/>
        <w:ind w:left="141" w:right="170" w:firstLine="639"/>
        <w:rPr>
          <w:lang w:eastAsia="zh-CN"/>
        </w:rPr>
      </w:pPr>
      <w:r>
        <w:rPr>
          <w:lang w:eastAsia="zh-CN"/>
        </w:rPr>
        <w:t>（四）根据学院学籍管理的有关规定，在某一方面未达到毕业要求者。</w:t>
      </w:r>
    </w:p>
    <w:p>
      <w:pPr>
        <w:pStyle w:val="2"/>
        <w:tabs>
          <w:tab w:val="left" w:pos="2700"/>
        </w:tabs>
        <w:spacing w:before="28"/>
        <w:ind w:left="781"/>
        <w:rPr>
          <w:lang w:eastAsia="zh-CN"/>
        </w:rPr>
      </w:pPr>
      <w:r>
        <w:rPr>
          <w:lang w:eastAsia="zh-CN"/>
        </w:rPr>
        <w:t>第七十四条</w:t>
      </w:r>
      <w:r>
        <w:rPr>
          <w:lang w:eastAsia="zh-CN"/>
        </w:rPr>
        <w:tab/>
      </w:r>
      <w:r>
        <w:rPr>
          <w:spacing w:val="-1"/>
          <w:lang w:eastAsia="zh-CN"/>
        </w:rPr>
        <w:t>肄业</w:t>
      </w:r>
    </w:p>
    <w:p>
      <w:pPr>
        <w:rPr>
          <w:lang w:eastAsia="zh-CN"/>
        </w:rPr>
        <w:sectPr>
          <w:pgSz w:w="11910" w:h="16840"/>
          <w:pgMar w:top="1080" w:right="1540" w:bottom="1400" w:left="1560" w:header="893" w:footer="1145" w:gutter="0"/>
          <w:cols w:space="720" w:num="1"/>
        </w:sectPr>
      </w:pPr>
    </w:p>
    <w:p>
      <w:pPr>
        <w:pStyle w:val="2"/>
        <w:rPr>
          <w:sz w:val="20"/>
          <w:lang w:eastAsia="zh-CN"/>
        </w:rPr>
      </w:pPr>
    </w:p>
    <w:p>
      <w:pPr>
        <w:pStyle w:val="2"/>
        <w:rPr>
          <w:sz w:val="20"/>
          <w:lang w:eastAsia="zh-CN"/>
        </w:rPr>
      </w:pPr>
    </w:p>
    <w:p>
      <w:pPr>
        <w:pStyle w:val="2"/>
        <w:spacing w:before="157"/>
        <w:ind w:left="781"/>
        <w:rPr>
          <w:lang w:eastAsia="zh-CN"/>
        </w:rPr>
      </w:pPr>
      <w:r>
        <w:rPr>
          <w:lang w:eastAsia="zh-CN"/>
        </w:rPr>
        <w:t>（一）学满一学年以上退学的学生，由学院颁发肄业证</w:t>
      </w:r>
    </w:p>
    <w:p>
      <w:pPr>
        <w:pStyle w:val="2"/>
        <w:spacing w:before="120"/>
        <w:ind w:left="141"/>
        <w:rPr>
          <w:lang w:eastAsia="zh-CN"/>
        </w:rPr>
      </w:pPr>
      <w:r>
        <w:rPr>
          <w:lang w:eastAsia="zh-CN"/>
        </w:rPr>
        <w:t>书。</w:t>
      </w:r>
    </w:p>
    <w:p>
      <w:pPr>
        <w:pStyle w:val="2"/>
        <w:spacing w:before="120"/>
        <w:ind w:left="781"/>
        <w:rPr>
          <w:lang w:eastAsia="zh-CN"/>
        </w:rPr>
      </w:pPr>
      <w:r>
        <w:rPr>
          <w:lang w:eastAsia="zh-CN"/>
        </w:rPr>
        <w:t>（二）执行《学生体质健康标准》的学生，成绩不及格，</w:t>
      </w:r>
    </w:p>
    <w:p>
      <w:pPr>
        <w:pStyle w:val="2"/>
        <w:spacing w:before="1"/>
        <w:rPr>
          <w:sz w:val="9"/>
          <w:lang w:eastAsia="zh-CN"/>
        </w:rPr>
      </w:pPr>
    </w:p>
    <w:p>
      <w:pPr>
        <w:pStyle w:val="2"/>
        <w:spacing w:before="2"/>
        <w:ind w:left="141"/>
        <w:rPr>
          <w:lang w:eastAsia="zh-CN"/>
        </w:rPr>
      </w:pPr>
      <w:r>
        <w:rPr>
          <w:lang w:eastAsia="zh-CN"/>
        </w:rPr>
        <w:t>按肄业处理。</w:t>
      </w:r>
    </w:p>
    <w:p>
      <w:pPr>
        <w:pStyle w:val="2"/>
        <w:spacing w:before="121" w:line="309" w:lineRule="auto"/>
        <w:ind w:left="141" w:right="277" w:firstLine="639"/>
        <w:jc w:val="both"/>
        <w:rPr>
          <w:lang w:eastAsia="zh-CN"/>
        </w:rPr>
      </w:pPr>
      <w:r>
        <w:rPr>
          <w:lang w:eastAsia="zh-CN"/>
        </w:rPr>
        <w:t>第七十五条 毕业、结业、肄业证书遗失或者损坏不能补发，经本人申请，学院核实后出具相应的证明书。证明书与原证书具有同等效力。</w:t>
      </w:r>
    </w:p>
    <w:p>
      <w:pPr>
        <w:pStyle w:val="2"/>
        <w:spacing w:before="28" w:line="309" w:lineRule="auto"/>
        <w:ind w:left="141" w:right="277" w:firstLine="639"/>
        <w:jc w:val="both"/>
        <w:rPr>
          <w:lang w:eastAsia="zh-CN"/>
        </w:rPr>
      </w:pPr>
      <w:r>
        <w:rPr>
          <w:lang w:eastAsia="zh-CN"/>
        </w:rPr>
        <w:t>第七十六条 对违反国家招生规定入学者，不发给学历证书；已发学历证书予以追回，并报教育行政部门宣布证书无效。</w:t>
      </w:r>
    </w:p>
    <w:p>
      <w:pPr>
        <w:pStyle w:val="2"/>
        <w:spacing w:before="28"/>
        <w:ind w:left="781"/>
        <w:rPr>
          <w:lang w:eastAsia="zh-CN"/>
        </w:rPr>
      </w:pPr>
      <w:r>
        <w:rPr>
          <w:lang w:eastAsia="zh-CN"/>
        </w:rPr>
        <w:t>十二、辅修专业</w:t>
      </w:r>
    </w:p>
    <w:p>
      <w:pPr>
        <w:pStyle w:val="2"/>
        <w:spacing w:before="121" w:line="309" w:lineRule="auto"/>
        <w:ind w:left="141" w:right="200" w:firstLine="639"/>
        <w:jc w:val="both"/>
        <w:rPr>
          <w:lang w:eastAsia="zh-CN"/>
        </w:rPr>
      </w:pPr>
      <w:r>
        <w:rPr>
          <w:spacing w:val="-1"/>
          <w:lang w:eastAsia="zh-CN"/>
        </w:rPr>
        <w:t>第七十七条 为培养适应社会主义现代化生产、建设 、管理、服务第一线需要的德、智、体、美等方面全面发展的高素质技术技能人才，培养激发学生学习的积极性，进一步拓宽学生的知识面，拓展学生的就业渠道，实行辅修专业制</w:t>
      </w:r>
      <w:r>
        <w:rPr>
          <w:spacing w:val="-7"/>
          <w:lang w:eastAsia="zh-CN"/>
        </w:rPr>
        <w:t>度，对成绩优良(平均学分绩点</w:t>
      </w:r>
      <w:r>
        <w:rPr>
          <w:lang w:eastAsia="zh-CN"/>
        </w:rPr>
        <w:t>≥3.3)</w:t>
      </w:r>
      <w:r>
        <w:rPr>
          <w:spacing w:val="-6"/>
          <w:lang w:eastAsia="zh-CN"/>
        </w:rPr>
        <w:t>的学生，经系(部)主任同意，教务处批准后，允许学生辅修第二专业。具体见《辅修专业管理办法》，达到辅修专业要求者由学院发给辅修专业证书。具体按《福建船政交通职业学院辅修专业制试行办</w:t>
      </w:r>
      <w:r>
        <w:rPr>
          <w:spacing w:val="-1"/>
          <w:lang w:eastAsia="zh-CN"/>
        </w:rPr>
        <w:t>法》实施。</w:t>
      </w:r>
    </w:p>
    <w:p>
      <w:pPr>
        <w:pStyle w:val="2"/>
        <w:spacing w:before="28"/>
        <w:ind w:left="781"/>
        <w:rPr>
          <w:lang w:eastAsia="zh-CN"/>
        </w:rPr>
      </w:pPr>
      <w:r>
        <w:rPr>
          <w:lang w:eastAsia="zh-CN"/>
        </w:rPr>
        <w:t>十三、附则</w:t>
      </w:r>
    </w:p>
    <w:p>
      <w:pPr>
        <w:pStyle w:val="2"/>
        <w:spacing w:before="120" w:line="309" w:lineRule="auto"/>
        <w:ind w:left="141" w:right="256" w:firstLine="639"/>
        <w:jc w:val="both"/>
        <w:rPr>
          <w:lang w:eastAsia="zh-CN"/>
        </w:rPr>
      </w:pPr>
      <w:r>
        <w:rPr>
          <w:lang w:eastAsia="zh-CN"/>
        </w:rPr>
        <w:t>第七十八条 本规定自印发之日起开始实施，原《福建交通职业技术学院学分制学籍管理实施细则》（闽交院教</w:t>
      </w:r>
    </w:p>
    <w:p>
      <w:pPr>
        <w:pStyle w:val="2"/>
        <w:spacing w:before="27"/>
        <w:ind w:left="141"/>
        <w:rPr>
          <w:lang w:eastAsia="zh-CN"/>
        </w:rPr>
      </w:pPr>
      <w:r>
        <w:rPr>
          <w:spacing w:val="-1"/>
          <w:lang w:eastAsia="zh-CN"/>
        </w:rPr>
        <w:t>〔2008〕11</w:t>
      </w:r>
      <w:r>
        <w:rPr>
          <w:lang w:eastAsia="zh-CN"/>
        </w:rPr>
        <w:t>0</w:t>
      </w:r>
      <w:r>
        <w:rPr>
          <w:spacing w:val="-81"/>
          <w:lang w:eastAsia="zh-CN"/>
        </w:rPr>
        <w:t xml:space="preserve"> </w:t>
      </w:r>
      <w:r>
        <w:rPr>
          <w:spacing w:val="-1"/>
          <w:lang w:eastAsia="zh-CN"/>
        </w:rPr>
        <w:t>号</w:t>
      </w:r>
      <w:r>
        <w:rPr>
          <w:spacing w:val="-160"/>
          <w:lang w:eastAsia="zh-CN"/>
        </w:rPr>
        <w:t>）</w:t>
      </w:r>
      <w:r>
        <w:rPr>
          <w:spacing w:val="-1"/>
          <w:lang w:eastAsia="zh-CN"/>
        </w:rPr>
        <w:t>，教务处负责解释。</w:t>
      </w:r>
    </w:p>
    <w:p>
      <w:pPr>
        <w:pStyle w:val="2"/>
        <w:tabs>
          <w:tab w:val="left" w:pos="2723"/>
        </w:tabs>
        <w:spacing w:before="120"/>
        <w:ind w:left="781"/>
        <w:rPr>
          <w:lang w:eastAsia="zh-CN"/>
        </w:rPr>
      </w:pPr>
      <w:r>
        <w:rPr>
          <w:lang w:eastAsia="zh-CN"/>
        </w:rPr>
        <w:t>第七十九条</w:t>
      </w:r>
      <w:r>
        <w:rPr>
          <w:lang w:eastAsia="zh-CN"/>
        </w:rPr>
        <w:tab/>
      </w:r>
      <w:r>
        <w:rPr>
          <w:lang w:eastAsia="zh-CN"/>
        </w:rPr>
        <w:t>原有相关规定与本实施细则出现冲</w:t>
      </w:r>
      <w:r>
        <w:rPr>
          <w:spacing w:val="4"/>
          <w:lang w:eastAsia="zh-CN"/>
        </w:rPr>
        <w:t>突的</w:t>
      </w:r>
      <w:r>
        <w:rPr>
          <w:lang w:eastAsia="zh-CN"/>
        </w:rPr>
        <w:t>，</w:t>
      </w:r>
    </w:p>
    <w:p>
      <w:pPr>
        <w:rPr>
          <w:lang w:eastAsia="zh-CN"/>
        </w:rPr>
        <w:sectPr>
          <w:pgSz w:w="11910" w:h="16840"/>
          <w:pgMar w:top="1080" w:right="1520" w:bottom="1400" w:left="1560" w:header="893" w:footer="1145" w:gutter="0"/>
          <w:cols w:space="720" w:num="1"/>
        </w:sectPr>
      </w:pPr>
    </w:p>
    <w:p>
      <w:pPr>
        <w:pStyle w:val="2"/>
        <w:rPr>
          <w:sz w:val="20"/>
          <w:lang w:eastAsia="zh-CN"/>
        </w:rPr>
      </w:pPr>
    </w:p>
    <w:p>
      <w:pPr>
        <w:pStyle w:val="2"/>
        <w:rPr>
          <w:sz w:val="20"/>
          <w:lang w:eastAsia="zh-CN"/>
        </w:rPr>
      </w:pPr>
    </w:p>
    <w:p>
      <w:pPr>
        <w:pStyle w:val="2"/>
        <w:spacing w:before="157"/>
        <w:ind w:left="141"/>
      </w:pPr>
      <w:r>
        <w:t>以本实施细则为准。</w:t>
      </w:r>
    </w:p>
    <w:p>
      <w:bookmarkStart w:id="0" w:name="_GoBack"/>
      <w:bookmarkEnd w:id="0"/>
    </w:p>
    <w:sectPr>
      <w:pgSz w:w="11906" w:h="16838"/>
      <w:pgMar w:top="1083" w:right="1519" w:bottom="1400" w:left="155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icrosoft JhengHei">
    <w:altName w:val="Arial"/>
    <w:panose1 w:val="00000000000000000000"/>
    <w:charset w:val="00"/>
    <w:family w:val="swiss"/>
    <w:pitch w:val="default"/>
    <w:sig w:usb0="00000000" w:usb1="00000000" w:usb2="00000000" w:usb3="00000000" w:csb0="00000000" w:csb1="00000000"/>
  </w:font>
  <w:font w:name="Microsoft Sans Serif">
    <w:panose1 w:val="020B0604020202020204"/>
    <w:charset w:val="00"/>
    <w:family w:val="swiss"/>
    <w:pitch w:val="default"/>
    <w:sig w:usb0="61007BDF" w:usb1="80000000" w:usb2="00000008"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502520832" behindDoc="1" locked="0" layoutInCell="1" allowOverlap="1">
              <wp:simplePos x="0" y="0"/>
              <wp:positionH relativeFrom="page">
                <wp:posOffset>6296660</wp:posOffset>
              </wp:positionH>
              <wp:positionV relativeFrom="page">
                <wp:posOffset>9788525</wp:posOffset>
              </wp:positionV>
              <wp:extent cx="1968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6850" cy="152400"/>
                      </a:xfrm>
                      <a:prstGeom prst="rect">
                        <a:avLst/>
                      </a:prstGeom>
                      <a:noFill/>
                      <a:ln w="9525">
                        <a:noFill/>
                      </a:ln>
                    </wps:spPr>
                    <wps:txbx>
                      <w:txbxContent>
                        <w:p>
                          <w:pPr>
                            <w:spacing w:before="12"/>
                            <w:ind w:left="20"/>
                            <w:rPr>
                              <w:rFonts w:ascii="Times New Roman"/>
                              <w:sz w:val="18"/>
                            </w:rPr>
                          </w:pPr>
                          <w:r>
                            <w:rPr>
                              <w:rFonts w:ascii="Times New Roman"/>
                              <w:sz w:val="18"/>
                            </w:rPr>
                            <w:t>300</w:t>
                          </w:r>
                        </w:p>
                      </w:txbxContent>
                    </wps:txbx>
                    <wps:bodyPr lIns="0" tIns="0" rIns="0" bIns="0" upright="1"/>
                  </wps:wsp>
                </a:graphicData>
              </a:graphic>
            </wp:anchor>
          </w:drawing>
        </mc:Choice>
        <mc:Fallback>
          <w:pict>
            <v:shape id="_x0000_s1026" o:spid="_x0000_s1026" o:spt="202" type="#_x0000_t202" style="position:absolute;left:0pt;margin-left:495.8pt;margin-top:770.75pt;height:12pt;width:15.5pt;mso-position-horizontal-relative:page;mso-position-vertical-relative:page;z-index:-795648;mso-width-relative:page;mso-height-relative:page;" filled="f" stroked="f" coordsize="21600,21600" o:gfxdata="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9GHSTdkAAAAOAQAA&#10;DwAAAAAAAAABACAAAAAiAAAAZHJzL2Rvd25yZXYueG1sUEsBAhQAFAAAAAgAh07iQFu11GimAQAA&#10;LAMAAA4AAAAAAAAAAQAgAAAAKAEAAGRycy9lMm9Eb2MueG1sUEsFBgAAAAAGAAYAWQEAAEAFAAAA&#10;AA==&#10;">
              <v:path/>
              <v:fill on="f" focussize="0,0"/>
              <v:stroke on="f" joinstyle="miter"/>
              <v:imagedata o:title=""/>
              <o:lock v:ext="edit"/>
              <v:textbox inset="0mm,0mm,0mm,0mm">
                <w:txbxContent>
                  <w:p>
                    <w:pPr>
                      <w:spacing w:before="12"/>
                      <w:ind w:left="20"/>
                      <w:rPr>
                        <w:rFonts w:ascii="Times New Roman"/>
                        <w:sz w:val="18"/>
                      </w:rPr>
                    </w:pPr>
                    <w:r>
                      <w:rPr>
                        <w:rFonts w:ascii="Times New Roman"/>
                        <w:sz w:val="18"/>
                      </w:rPr>
                      <w:t>300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4"/>
      </w:rPr>
    </w:pPr>
    <w:r>
      <mc:AlternateContent>
        <mc:Choice Requires="wps">
          <w:drawing>
            <wp:anchor distT="0" distB="0" distL="114300" distR="114300" simplePos="0" relativeHeight="502520832" behindDoc="1" locked="0" layoutInCell="1" allowOverlap="1">
              <wp:simplePos x="0" y="0"/>
              <wp:positionH relativeFrom="page">
                <wp:posOffset>6283960</wp:posOffset>
              </wp:positionH>
              <wp:positionV relativeFrom="page">
                <wp:posOffset>9788525</wp:posOffset>
              </wp:positionV>
              <wp:extent cx="22225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w="9525">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330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494.8pt;margin-top:770.75pt;height:12pt;width:17.5pt;mso-position-horizontal-relative:page;mso-position-vertical-relative:page;z-index:-795648;mso-width-relative:page;mso-height-relative:page;" filled="f" stroked="f" coordsize="21600,21600" o:gfxdata="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kCAPTaAAAADgEA&#10;AA8AAAAAAAAAAQAgAAAAIgAAAGRycy9kb3ducmV2LnhtbFBLAQIUABQAAAAIAIdO4kC1mQ99pgEA&#10;ACwDAAAOAAAAAAAAAAEAIAAAACkBAABkcnMvZTJvRG9jLnhtbFBLBQYAAAAABgAGAFkBAABBBQAA&#10;AAA=&#1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330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7F71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sz w:val="32"/>
      <w:szCs w:val="32"/>
    </w:rPr>
  </w:style>
  <w:style w:type="paragraph" w:customStyle="1" w:styleId="5">
    <w:name w:val="Heading 4"/>
    <w:basedOn w:val="1"/>
    <w:qFormat/>
    <w:uiPriority w:val="1"/>
    <w:pPr>
      <w:outlineLvl w:val="4"/>
    </w:pPr>
    <w:rPr>
      <w:sz w:val="36"/>
      <w:szCs w:val="36"/>
    </w:rPr>
  </w:style>
  <w:style w:type="paragraph" w:customStyle="1" w:styleId="6">
    <w:name w:val="Table Paragraph"/>
    <w:basedOn w:val="1"/>
    <w:qFormat/>
    <w:uiPriority w:val="1"/>
  </w:style>
  <w:style w:type="table" w:customStyle="1" w:styleId="7">
    <w:name w:val="Table Normal"/>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好心情99+1</cp:lastModifiedBy>
  <dcterms:modified xsi:type="dcterms:W3CDTF">2017-11-06T08:06:07Z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