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DD36">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项目采购方案（货物类）</w:t>
      </w:r>
    </w:p>
    <w:p w14:paraId="1AA01565">
      <w:pPr>
        <w:spacing w:line="360" w:lineRule="auto"/>
        <w:jc w:val="center"/>
        <w:rPr>
          <w:rFonts w:ascii="仿宋_GB2312" w:eastAsia="仿宋_GB2312"/>
          <w:b/>
          <w:bCs/>
          <w:sz w:val="24"/>
        </w:rPr>
      </w:pPr>
      <w:r>
        <w:rPr>
          <w:rFonts w:hint="eastAsia" w:ascii="仿宋_GB2312" w:hAnsi="宋体" w:eastAsia="仿宋_GB2312"/>
          <w:b/>
          <w:bCs/>
          <w:sz w:val="24"/>
        </w:rPr>
        <w:t>（</w:t>
      </w:r>
      <w:r>
        <w:rPr>
          <w:rFonts w:hint="eastAsia" w:ascii="仿宋_GB2312" w:hAnsi="宋体" w:eastAsia="仿宋_GB2312"/>
          <w:b/>
          <w:bCs/>
          <w:color w:val="FF0000"/>
          <w:sz w:val="28"/>
        </w:rPr>
        <w:t>请在编制正式采购方案时删除本模板中所有红色字样</w:t>
      </w:r>
      <w:r>
        <w:rPr>
          <w:rFonts w:hint="eastAsia" w:ascii="仿宋_GB2312" w:hAnsi="宋体" w:eastAsia="仿宋_GB2312"/>
          <w:b/>
          <w:bCs/>
          <w:sz w:val="24"/>
        </w:rPr>
        <w:t>）</w:t>
      </w:r>
    </w:p>
    <w:p w14:paraId="3B4F8AEA">
      <w:pPr>
        <w:spacing w:line="360" w:lineRule="auto"/>
        <w:jc w:val="left"/>
        <w:rPr>
          <w:rFonts w:ascii="仿宋_GB2312" w:hAnsi="宋体" w:eastAsia="仿宋_GB2312"/>
          <w:b/>
          <w:sz w:val="24"/>
        </w:rPr>
      </w:pPr>
      <w:r>
        <w:rPr>
          <w:rFonts w:hint="eastAsia" w:ascii="仿宋_GB2312" w:hAnsi="宋体" w:eastAsia="仿宋_GB2312"/>
          <w:b/>
          <w:sz w:val="24"/>
        </w:rPr>
        <w:t>一、标的一览表</w:t>
      </w:r>
    </w:p>
    <w:p w14:paraId="585DB9DD">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请列明1个核心产品可用文字或符号标记，核心产品建议选择价格占比较高的产品，用来投标时判定是否有三个不同品牌响应。</w:t>
      </w:r>
      <w:r>
        <w:rPr>
          <w:rFonts w:hint="eastAsia" w:ascii="仿宋" w:hAnsi="仿宋" w:eastAsia="仿宋"/>
          <w:bCs/>
          <w:color w:val="FF0000"/>
          <w:sz w:val="24"/>
        </w:rPr>
        <w:t>②</w:t>
      </w:r>
      <w:r>
        <w:rPr>
          <w:rFonts w:hint="eastAsia" w:ascii="仿宋_GB2312" w:hAnsi="宋体" w:eastAsia="仿宋_GB2312"/>
          <w:bCs/>
          <w:color w:val="FF0000"/>
          <w:sz w:val="24"/>
        </w:rPr>
        <w:t>对同款产品应汇总合计确保货物名称一致、单价一致。</w:t>
      </w:r>
      <w:r>
        <w:rPr>
          <w:rFonts w:hint="eastAsia" w:ascii="仿宋" w:hAnsi="仿宋" w:eastAsia="仿宋"/>
          <w:bCs/>
          <w:color w:val="FF0000"/>
          <w:sz w:val="24"/>
        </w:rPr>
        <w:t>③</w:t>
      </w:r>
      <w:r>
        <w:rPr>
          <w:rFonts w:hint="eastAsia" w:ascii="仿宋_GB2312" w:hAnsi="宋体" w:eastAsia="仿宋_GB2312"/>
          <w:bCs/>
          <w:color w:val="FF0000"/>
          <w:sz w:val="24"/>
        </w:rPr>
        <w:t>请按一定顺序分类汇总排列产品，如按设备类、家具类、文化装饰类、装修类次序排列产品。</w:t>
      </w:r>
      <w:r>
        <w:rPr>
          <w:rFonts w:hint="eastAsia" w:ascii="宋体" w:hAnsi="宋体"/>
          <w:bCs/>
          <w:color w:val="FF0000"/>
          <w:sz w:val="24"/>
        </w:rPr>
        <w:t>④</w:t>
      </w:r>
      <w:r>
        <w:rPr>
          <w:rFonts w:hint="eastAsia" w:ascii="仿宋_GB2312" w:hAnsi="宋体" w:eastAsia="仿宋_GB2312"/>
          <w:bCs/>
          <w:color w:val="FF0000"/>
          <w:sz w:val="24"/>
        </w:rPr>
        <w:t>属于网上超市可购买的同款产品，预算单价不超过网上超市同款产品单价</w:t>
      </w:r>
      <w:r>
        <w:rPr>
          <w:rFonts w:hint="eastAsia" w:ascii="仿宋" w:hAnsi="仿宋" w:eastAsia="仿宋"/>
          <w:bCs/>
          <w:color w:val="FF0000"/>
          <w:sz w:val="24"/>
        </w:rPr>
        <w:t>+</w:t>
      </w:r>
      <w:r>
        <w:rPr>
          <w:rFonts w:hint="eastAsia" w:ascii="仿宋_GB2312" w:hAnsi="宋体" w:eastAsia="仿宋_GB2312"/>
          <w:bCs/>
          <w:color w:val="FF0000"/>
          <w:sz w:val="24"/>
        </w:rPr>
        <w:t>3%）</w:t>
      </w:r>
      <w:r>
        <w:rPr>
          <w:rFonts w:ascii="仿宋_GB2312" w:eastAsia="仿宋_GB2312"/>
          <w:bCs/>
          <w:sz w:val="24"/>
        </w:rPr>
        <w:t xml:space="preserve">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42"/>
        <w:gridCol w:w="3733"/>
        <w:gridCol w:w="1042"/>
        <w:gridCol w:w="1342"/>
        <w:gridCol w:w="1493"/>
      </w:tblGrid>
      <w:tr w14:paraId="2BC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14:paraId="72B18A57">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535" w:type="pct"/>
            <w:vAlign w:val="center"/>
          </w:tcPr>
          <w:p w14:paraId="2D511A22">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序号</w:t>
            </w:r>
          </w:p>
        </w:tc>
        <w:tc>
          <w:tcPr>
            <w:tcW w:w="1916" w:type="pct"/>
            <w:vAlign w:val="center"/>
          </w:tcPr>
          <w:p w14:paraId="5CADA6F8">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货物名称</w:t>
            </w:r>
          </w:p>
        </w:tc>
        <w:tc>
          <w:tcPr>
            <w:tcW w:w="535" w:type="pct"/>
            <w:vAlign w:val="center"/>
          </w:tcPr>
          <w:p w14:paraId="622EF32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数量</w:t>
            </w:r>
          </w:p>
        </w:tc>
        <w:tc>
          <w:tcPr>
            <w:tcW w:w="689" w:type="pct"/>
            <w:vAlign w:val="center"/>
          </w:tcPr>
          <w:p w14:paraId="2F1BA186">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预算单价（元）</w:t>
            </w:r>
          </w:p>
        </w:tc>
        <w:tc>
          <w:tcPr>
            <w:tcW w:w="765" w:type="pct"/>
            <w:vAlign w:val="center"/>
          </w:tcPr>
          <w:p w14:paraId="6AA6B203">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预算金额（元）</w:t>
            </w:r>
          </w:p>
        </w:tc>
      </w:tr>
      <w:tr w14:paraId="479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Merge w:val="restart"/>
            <w:vAlign w:val="center"/>
          </w:tcPr>
          <w:p w14:paraId="00AAD34E">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535" w:type="pct"/>
            <w:shd w:val="clear" w:color="auto" w:fill="FFFFFF"/>
            <w:vAlign w:val="center"/>
          </w:tcPr>
          <w:p w14:paraId="332357E9">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1916" w:type="pct"/>
            <w:shd w:val="clear" w:color="auto" w:fill="FFFFFF"/>
            <w:vAlign w:val="center"/>
          </w:tcPr>
          <w:p w14:paraId="38731A18">
            <w:pPr>
              <w:widowControl/>
              <w:spacing w:line="400" w:lineRule="exact"/>
              <w:jc w:val="center"/>
              <w:rPr>
                <w:rFonts w:ascii="仿宋_GB2312" w:eastAsia="仿宋_GB2312" w:cs="宋体"/>
                <w:color w:val="000000"/>
                <w:kern w:val="0"/>
                <w:sz w:val="24"/>
              </w:rPr>
            </w:pPr>
          </w:p>
        </w:tc>
        <w:tc>
          <w:tcPr>
            <w:tcW w:w="535" w:type="pct"/>
            <w:shd w:val="clear" w:color="auto" w:fill="FFFFFF"/>
            <w:vAlign w:val="center"/>
          </w:tcPr>
          <w:p w14:paraId="7BBED76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E4D18EA">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2EF47144">
            <w:pPr>
              <w:widowControl/>
              <w:spacing w:line="400" w:lineRule="exact"/>
              <w:jc w:val="center"/>
              <w:rPr>
                <w:rFonts w:ascii="仿宋_GB2312" w:eastAsia="仿宋_GB2312" w:cs="宋体"/>
                <w:color w:val="000000"/>
                <w:sz w:val="24"/>
              </w:rPr>
            </w:pPr>
          </w:p>
        </w:tc>
      </w:tr>
      <w:tr w14:paraId="586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22D85102">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3CE47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1916" w:type="pct"/>
            <w:shd w:val="clear" w:color="auto" w:fill="FFFFFF"/>
            <w:vAlign w:val="center"/>
          </w:tcPr>
          <w:p w14:paraId="1C2FF1E4">
            <w:pPr>
              <w:spacing w:line="400" w:lineRule="exact"/>
              <w:jc w:val="center"/>
              <w:rPr>
                <w:rFonts w:ascii="仿宋_GB2312" w:eastAsia="仿宋_GB2312" w:cs="宋体"/>
                <w:color w:val="000000"/>
                <w:sz w:val="24"/>
              </w:rPr>
            </w:pPr>
          </w:p>
        </w:tc>
        <w:tc>
          <w:tcPr>
            <w:tcW w:w="535" w:type="pct"/>
            <w:shd w:val="clear" w:color="auto" w:fill="FFFFFF"/>
            <w:vAlign w:val="center"/>
          </w:tcPr>
          <w:p w14:paraId="4BEC805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336900">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0106E1FD">
            <w:pPr>
              <w:widowControl/>
              <w:spacing w:line="400" w:lineRule="exact"/>
              <w:jc w:val="center"/>
              <w:rPr>
                <w:rFonts w:ascii="仿宋_GB2312" w:eastAsia="仿宋_GB2312" w:cs="宋体"/>
                <w:color w:val="000000"/>
                <w:sz w:val="24"/>
              </w:rPr>
            </w:pPr>
          </w:p>
        </w:tc>
      </w:tr>
      <w:tr w14:paraId="6B0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53F5367">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43A9284E">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3</w:t>
            </w:r>
          </w:p>
        </w:tc>
        <w:tc>
          <w:tcPr>
            <w:tcW w:w="1916" w:type="pct"/>
            <w:shd w:val="clear" w:color="auto" w:fill="FFFFFF"/>
            <w:vAlign w:val="center"/>
          </w:tcPr>
          <w:p w14:paraId="0A7B223B">
            <w:pPr>
              <w:spacing w:line="400" w:lineRule="exact"/>
              <w:jc w:val="center"/>
              <w:rPr>
                <w:rFonts w:ascii="仿宋_GB2312" w:eastAsia="仿宋_GB2312" w:cs="宋体"/>
                <w:color w:val="000000"/>
                <w:sz w:val="24"/>
              </w:rPr>
            </w:pPr>
          </w:p>
        </w:tc>
        <w:tc>
          <w:tcPr>
            <w:tcW w:w="535" w:type="pct"/>
            <w:shd w:val="clear" w:color="auto" w:fill="FFFFFF"/>
            <w:vAlign w:val="center"/>
          </w:tcPr>
          <w:p w14:paraId="33B65E7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DA156C9">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123972EE">
            <w:pPr>
              <w:widowControl/>
              <w:spacing w:line="400" w:lineRule="exact"/>
              <w:jc w:val="center"/>
              <w:rPr>
                <w:rFonts w:ascii="仿宋_GB2312" w:eastAsia="仿宋_GB2312" w:cs="宋体"/>
                <w:color w:val="000000"/>
                <w:sz w:val="24"/>
              </w:rPr>
            </w:pPr>
          </w:p>
        </w:tc>
      </w:tr>
      <w:tr w14:paraId="450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4D798838">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7A827B41">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0BF7D124">
            <w:pPr>
              <w:widowControl/>
              <w:spacing w:line="400" w:lineRule="exact"/>
              <w:jc w:val="center"/>
              <w:rPr>
                <w:rFonts w:ascii="仿宋_GB2312" w:eastAsia="仿宋_GB2312" w:cs="宋体"/>
                <w:color w:val="000000"/>
                <w:sz w:val="24"/>
              </w:rPr>
            </w:pPr>
          </w:p>
        </w:tc>
        <w:tc>
          <w:tcPr>
            <w:tcW w:w="535" w:type="pct"/>
            <w:shd w:val="clear" w:color="auto" w:fill="FFFFFF"/>
            <w:vAlign w:val="center"/>
          </w:tcPr>
          <w:p w14:paraId="6073C790">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5FBF4B">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9635663">
            <w:pPr>
              <w:widowControl/>
              <w:spacing w:line="400" w:lineRule="exact"/>
              <w:jc w:val="center"/>
              <w:rPr>
                <w:rFonts w:ascii="仿宋_GB2312" w:eastAsia="仿宋_GB2312" w:cs="宋体"/>
                <w:color w:val="000000"/>
                <w:sz w:val="24"/>
              </w:rPr>
            </w:pPr>
          </w:p>
        </w:tc>
      </w:tr>
      <w:tr w14:paraId="2DC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6100693">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10E29D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59045521">
            <w:pPr>
              <w:spacing w:line="400" w:lineRule="exact"/>
              <w:jc w:val="center"/>
              <w:rPr>
                <w:rFonts w:ascii="仿宋_GB2312" w:eastAsia="仿宋_GB2312" w:cs="宋体"/>
                <w:color w:val="000000"/>
                <w:sz w:val="24"/>
              </w:rPr>
            </w:pPr>
          </w:p>
        </w:tc>
        <w:tc>
          <w:tcPr>
            <w:tcW w:w="535" w:type="pct"/>
            <w:shd w:val="clear" w:color="auto" w:fill="FFFFFF"/>
            <w:vAlign w:val="center"/>
          </w:tcPr>
          <w:p w14:paraId="427B2EF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40028A6">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5D1ED23">
            <w:pPr>
              <w:widowControl/>
              <w:spacing w:line="400" w:lineRule="exact"/>
              <w:jc w:val="center"/>
              <w:rPr>
                <w:rFonts w:ascii="仿宋_GB2312" w:eastAsia="仿宋_GB2312" w:cs="宋体"/>
                <w:color w:val="000000"/>
                <w:sz w:val="24"/>
              </w:rPr>
            </w:pPr>
          </w:p>
        </w:tc>
      </w:tr>
      <w:tr w14:paraId="64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14:paraId="593A31AA">
            <w:pPr>
              <w:widowControl/>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合计</w:t>
            </w:r>
          </w:p>
        </w:tc>
        <w:tc>
          <w:tcPr>
            <w:tcW w:w="3906" w:type="pct"/>
            <w:gridSpan w:val="4"/>
            <w:shd w:val="clear" w:color="auto" w:fill="FFFFFF"/>
            <w:vAlign w:val="center"/>
          </w:tcPr>
          <w:p w14:paraId="5933CAA4">
            <w:pPr>
              <w:widowControl/>
              <w:spacing w:line="400" w:lineRule="exact"/>
              <w:rPr>
                <w:rFonts w:ascii="仿宋_GB2312" w:eastAsia="仿宋_GB2312" w:cs="宋体"/>
                <w:color w:val="000000"/>
                <w:sz w:val="24"/>
              </w:rPr>
            </w:pPr>
            <w:r>
              <w:rPr>
                <w:rFonts w:hint="eastAsia" w:ascii="仿宋_GB2312" w:hAnsi="宋体" w:eastAsia="仿宋_GB2312" w:cs="宋体"/>
                <w:bCs/>
                <w:color w:val="000000"/>
                <w:sz w:val="24"/>
              </w:rPr>
              <w:t>人民币          元整（</w:t>
            </w:r>
            <w:r>
              <w:rPr>
                <w:rFonts w:hint="eastAsia" w:ascii="仿宋_GB2312" w:eastAsia="仿宋_GB2312" w:cs="宋体"/>
                <w:bCs/>
                <w:color w:val="000000"/>
                <w:sz w:val="24"/>
              </w:rPr>
              <w:t>¥</w:t>
            </w:r>
            <w:r>
              <w:rPr>
                <w:rFonts w:hint="eastAsia" w:ascii="仿宋_GB2312" w:hAnsi="宋体" w:eastAsia="仿宋_GB2312" w:cs="宋体"/>
                <w:bCs/>
                <w:color w:val="000000"/>
                <w:sz w:val="24"/>
              </w:rPr>
              <w:t xml:space="preserve">      ）</w:t>
            </w:r>
          </w:p>
        </w:tc>
      </w:tr>
    </w:tbl>
    <w:p w14:paraId="27671102">
      <w:pPr>
        <w:spacing w:line="360" w:lineRule="auto"/>
        <w:jc w:val="left"/>
        <w:rPr>
          <w:rFonts w:ascii="仿宋_GB2312" w:hAnsi="宋体" w:eastAsia="仿宋_GB2312"/>
          <w:b/>
          <w:sz w:val="24"/>
        </w:rPr>
      </w:pPr>
      <w:r>
        <w:rPr>
          <w:rFonts w:hint="eastAsia" w:ascii="仿宋_GB2312" w:hAnsi="宋体" w:eastAsia="仿宋_GB2312"/>
          <w:b/>
          <w:sz w:val="24"/>
        </w:rPr>
        <w:t>二、资格要求</w:t>
      </w:r>
    </w:p>
    <w:p w14:paraId="7E93B839">
      <w:pPr>
        <w:spacing w:line="360" w:lineRule="auto"/>
        <w:ind w:firstLine="480" w:firstLineChars="200"/>
        <w:jc w:val="left"/>
        <w:rPr>
          <w:rFonts w:ascii="仿宋" w:hAnsi="仿宋" w:eastAsia="仿宋"/>
          <w:bCs/>
          <w:sz w:val="24"/>
        </w:rPr>
      </w:pPr>
      <w:r>
        <w:rPr>
          <w:rFonts w:hint="eastAsia" w:ascii="仿宋" w:hAnsi="仿宋" w:eastAsia="仿宋"/>
          <w:bCs/>
          <w:sz w:val="24"/>
        </w:rPr>
        <w:t>1.《中华人民共和国政府采购法》第二十二条规定的供应商参加政府采购活动应当具备条件。</w:t>
      </w:r>
    </w:p>
    <w:p w14:paraId="0BC28B1E">
      <w:pPr>
        <w:spacing w:line="360" w:lineRule="auto"/>
        <w:ind w:firstLine="480" w:firstLineChars="200"/>
        <w:jc w:val="left"/>
        <w:rPr>
          <w:rFonts w:ascii="仿宋_GB2312" w:hAnsi="宋体" w:eastAsia="仿宋_GB2312"/>
          <w:bCs/>
          <w:color w:val="FF0000"/>
          <w:sz w:val="24"/>
        </w:rPr>
      </w:pPr>
      <w:r>
        <w:rPr>
          <w:rFonts w:ascii="仿宋" w:hAnsi="仿宋" w:eastAsia="仿宋"/>
          <w:bCs/>
          <w:sz w:val="24"/>
        </w:rPr>
        <w:t>2</w:t>
      </w:r>
      <w:r>
        <w:rPr>
          <w:rFonts w:hint="eastAsia" w:ascii="仿宋" w:hAnsi="仿宋" w:eastAsia="仿宋"/>
          <w:bCs/>
          <w:sz w:val="24"/>
        </w:rPr>
        <w:t>.采购包_</w:t>
      </w:r>
      <w:r>
        <w:rPr>
          <w:rFonts w:ascii="仿宋" w:hAnsi="仿宋" w:eastAsia="仿宋"/>
          <w:bCs/>
          <w:sz w:val="24"/>
        </w:rPr>
        <w:t>__:</w:t>
      </w:r>
      <w:r>
        <w:rPr>
          <w:rFonts w:hint="eastAsia" w:ascii="仿宋" w:hAnsi="仿宋" w:eastAsia="仿宋"/>
          <w:bCs/>
          <w:sz w:val="24"/>
        </w:rPr>
        <w:t>□</w:t>
      </w:r>
      <w:r>
        <w:rPr>
          <w:rFonts w:hint="eastAsia" w:ascii="仿宋_GB2312" w:hAnsi="宋体" w:eastAsia="仿宋_GB2312"/>
          <w:bCs/>
          <w:sz w:val="24"/>
        </w:rPr>
        <w:t>专门面向中小企业</w:t>
      </w:r>
      <w:r>
        <w:rPr>
          <w:rFonts w:hint="eastAsia" w:ascii="仿宋_GB2312" w:hAnsi="宋体" w:eastAsia="仿宋_GB2312"/>
          <w:bCs/>
          <w:color w:val="FF0000"/>
          <w:sz w:val="24"/>
        </w:rPr>
        <w:t>（若本采购包专门面向中小企业，请在前面方框中打“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5D317197">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以此类推其他采购包。</w:t>
      </w:r>
    </w:p>
    <w:p w14:paraId="6B053498">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注：根据《政府采购促进中小企业发展管理办法》（财库〔2020〕46号）的第六条、第七条和第八条要求，2</w:t>
      </w:r>
      <w:r>
        <w:rPr>
          <w:rFonts w:ascii="仿宋_GB2312" w:hAnsi="宋体" w:eastAsia="仿宋_GB2312"/>
          <w:bCs/>
          <w:color w:val="FF0000"/>
          <w:sz w:val="24"/>
        </w:rPr>
        <w:t>00</w:t>
      </w:r>
      <w:r>
        <w:rPr>
          <w:rFonts w:hint="eastAsia" w:ascii="仿宋_GB2312" w:hAnsi="宋体" w:eastAsia="仿宋_GB2312"/>
          <w:bCs/>
          <w:color w:val="FF0000"/>
          <w:sz w:val="24"/>
        </w:rPr>
        <w:t>万元以下的货物和服务项目，适宜面向中小企业应当专门面向中小企业采购。2</w:t>
      </w:r>
      <w:r>
        <w:rPr>
          <w:rFonts w:ascii="仿宋_GB2312" w:hAnsi="宋体" w:eastAsia="仿宋_GB2312"/>
          <w:bCs/>
          <w:color w:val="FF0000"/>
          <w:sz w:val="24"/>
        </w:rPr>
        <w:t>00</w:t>
      </w:r>
      <w:r>
        <w:rPr>
          <w:rFonts w:hint="eastAsia" w:ascii="仿宋_GB2312" w:hAnsi="宋体" w:eastAsia="仿宋_GB2312"/>
          <w:bCs/>
          <w:color w:val="FF0000"/>
          <w:sz w:val="24"/>
        </w:rPr>
        <w:t xml:space="preserve">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25F39CF0">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我中心。</w:t>
      </w:r>
    </w:p>
    <w:p w14:paraId="51CB866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（特殊资格要求填写的内容必须是国家强制准入资格类的要求或者允许分包的资格要求，若不是或者不要求则填写“无”）</w:t>
      </w:r>
    </w:p>
    <w:p w14:paraId="2EFE93E3">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4.是否接受联合体：</w:t>
      </w:r>
    </w:p>
    <w:p w14:paraId="2F2B6EE2">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6B2920F4">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03C21C2F">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0D7C5E12">
      <w:pPr>
        <w:spacing w:line="360" w:lineRule="auto"/>
        <w:ind w:firstLine="240" w:firstLineChars="100"/>
        <w:jc w:val="left"/>
        <w:rPr>
          <w:rFonts w:ascii="仿宋" w:hAnsi="仿宋" w:eastAsia="仿宋"/>
          <w:bCs/>
          <w:sz w:val="24"/>
        </w:rPr>
      </w:pPr>
      <w:r>
        <w:rPr>
          <w:rFonts w:hint="eastAsia" w:ascii="仿宋" w:hAnsi="仿宋" w:eastAsia="仿宋"/>
          <w:bCs/>
          <w:sz w:val="24"/>
        </w:rPr>
        <w:t>□不接受。</w:t>
      </w:r>
    </w:p>
    <w:p w14:paraId="74B2FFC0">
      <w:pPr>
        <w:spacing w:line="360" w:lineRule="auto"/>
        <w:jc w:val="left"/>
        <w:rPr>
          <w:rFonts w:ascii="仿宋" w:hAnsi="仿宋" w:eastAsia="仿宋"/>
          <w:bCs/>
          <w:color w:val="FF0000"/>
          <w:sz w:val="24"/>
        </w:rPr>
      </w:pPr>
      <w:r>
        <w:rPr>
          <w:rFonts w:hint="eastAsia" w:ascii="仿宋" w:hAnsi="仿宋" w:eastAsia="仿宋"/>
          <w:b/>
          <w:sz w:val="24"/>
        </w:rPr>
        <w:t>三、项目概况</w:t>
      </w:r>
      <w:r>
        <w:rPr>
          <w:rFonts w:hint="eastAsia" w:ascii="仿宋" w:hAnsi="仿宋" w:eastAsia="仿宋"/>
          <w:bCs/>
          <w:color w:val="FF0000"/>
          <w:sz w:val="24"/>
        </w:rPr>
        <w:t>（若有，非必须要求）</w:t>
      </w:r>
    </w:p>
    <w:p w14:paraId="474010DF">
      <w:pPr>
        <w:spacing w:line="360" w:lineRule="auto"/>
        <w:jc w:val="left"/>
        <w:rPr>
          <w:rFonts w:ascii="仿宋" w:hAnsi="仿宋" w:eastAsia="仿宋"/>
          <w:bCs/>
          <w:color w:val="FF0000"/>
          <w:sz w:val="24"/>
        </w:rPr>
      </w:pPr>
      <w:r>
        <w:rPr>
          <w:rFonts w:hint="eastAsia" w:ascii="仿宋" w:hAnsi="仿宋" w:eastAsia="仿宋"/>
          <w:bCs/>
          <w:color w:val="FF0000"/>
          <w:sz w:val="24"/>
        </w:rPr>
        <w:t>如项目背景、建设目标（或采购目的）、项目运行模式等</w:t>
      </w:r>
    </w:p>
    <w:p w14:paraId="07E8A85B">
      <w:pPr>
        <w:spacing w:line="360" w:lineRule="auto"/>
        <w:jc w:val="left"/>
        <w:rPr>
          <w:rFonts w:ascii="仿宋_GB2312" w:hAnsi="宋体" w:eastAsia="仿宋_GB2312"/>
          <w:bCs/>
          <w:sz w:val="24"/>
        </w:rPr>
      </w:pPr>
      <w:r>
        <w:rPr>
          <w:rFonts w:hint="eastAsia" w:ascii="仿宋_GB2312" w:hAnsi="宋体" w:eastAsia="仿宋_GB2312"/>
          <w:b/>
          <w:sz w:val="24"/>
        </w:rPr>
        <w:t>四、技术和服务</w:t>
      </w:r>
    </w:p>
    <w:p w14:paraId="2F2D6D1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1.产品技术规格及要求</w:t>
      </w:r>
    </w:p>
    <w:p w14:paraId="1319B128">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显著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所有货物的技术规格及要求应在市场上至少有三个不同品牌的产品能满足。</w:t>
      </w:r>
      <w:r>
        <w:rPr>
          <w:rFonts w:hint="eastAsia" w:ascii="仿宋" w:hAnsi="仿宋" w:eastAsia="仿宋"/>
          <w:b/>
          <w:bCs/>
          <w:color w:val="FF0000"/>
          <w:sz w:val="24"/>
        </w:rPr>
        <w:t>③技术参数的描述</w:t>
      </w:r>
      <w:r>
        <w:rPr>
          <w:rFonts w:hint="eastAsia" w:ascii="仿宋_GB2312" w:hAnsi="宋体" w:eastAsia="仿宋_GB2312"/>
          <w:b/>
          <w:bCs/>
          <w:color w:val="FF0000"/>
          <w:sz w:val="24"/>
        </w:rPr>
        <w:t>避免广告性推销词汇或表述，避免照搬说明书或指导书条款，避免主观性词语或过多的形容词，注重客观描述功能和必要的技术指标，且所描述的技术参数可实现现场验收，无法进行现场核验的技术参数不要体现，不能出现品牌型号。</w:t>
      </w:r>
      <w:r>
        <w:rPr>
          <w:rFonts w:hint="eastAsia" w:ascii="仿宋" w:hAnsi="仿宋" w:eastAsia="仿宋"/>
          <w:bCs/>
          <w:color w:val="FF0000"/>
          <w:sz w:val="24"/>
        </w:rPr>
        <w:t>④所有固定值技术规格应增加偏差区间（如±5mm或±3%或≥5kg或≤5kg等），或者技术规格采用区间范围描述。⑤若有标注特殊符号的技术规格，涉及特殊符号的技术规格条目全文不超过10个。</w:t>
      </w:r>
      <w:r>
        <w:rPr>
          <w:rFonts w:hint="eastAsia" w:ascii="仿宋" w:hAnsi="仿宋" w:eastAsia="仿宋"/>
          <w:b/>
          <w:bCs/>
          <w:color w:val="FF0000"/>
          <w:sz w:val="24"/>
        </w:rPr>
        <w:t>⑥设备类产品，若无需空间限制或非技术关键指标，请尽量不要描写设备的外观尺寸或外包装尺寸或设备总体重量等</w:t>
      </w:r>
      <w:r>
        <w:rPr>
          <w:rFonts w:hint="eastAsia" w:ascii="仿宋_GB2312" w:hAnsi="宋体" w:eastAsia="仿宋_GB2312"/>
          <w:b/>
          <w:bCs/>
          <w:color w:val="FF0000"/>
          <w:sz w:val="24"/>
        </w:rPr>
        <w:t>无妨碍实际教学、服务等实际需求的参数</w:t>
      </w:r>
      <w:r>
        <w:rPr>
          <w:rFonts w:hint="eastAsia" w:ascii="仿宋" w:hAnsi="仿宋" w:eastAsia="仿宋"/>
          <w:b/>
          <w:bCs/>
          <w:color w:val="FF0000"/>
          <w:sz w:val="24"/>
        </w:rPr>
        <w:t>，易存在倾向性。</w:t>
      </w:r>
      <w:r>
        <w:rPr>
          <w:rFonts w:hint="eastAsia" w:ascii="宋体" w:hAnsi="宋体" w:cs="宋体"/>
          <w:bCs/>
          <w:color w:val="FF0000"/>
          <w:sz w:val="24"/>
        </w:rPr>
        <w:t>⑦</w:t>
      </w:r>
      <w:r>
        <w:rPr>
          <w:rFonts w:hint="eastAsia" w:ascii="仿宋" w:hAnsi="仿宋" w:eastAsia="仿宋"/>
          <w:bCs/>
          <w:color w:val="FF0000"/>
          <w:sz w:val="24"/>
        </w:rPr>
        <w:t>不能要求计算机软著权证书或者专利证书。</w:t>
      </w:r>
      <w:r>
        <w:rPr>
          <w:rFonts w:hint="eastAsia" w:ascii="仿宋" w:hAnsi="仿宋" w:eastAsia="仿宋" w:cs="仿宋"/>
          <w:bCs/>
          <w:color w:val="FF0000"/>
          <w:sz w:val="24"/>
        </w:rPr>
        <w:t>⑧</w:t>
      </w:r>
      <w:r>
        <w:rPr>
          <w:rFonts w:hint="eastAsia" w:ascii="仿宋" w:hAnsi="仿宋" w:eastAsia="仿宋"/>
          <w:bCs/>
          <w:color w:val="FF0000"/>
          <w:sz w:val="24"/>
        </w:rPr>
        <w:t>若有演示要求的技术参数条款请在对应的技术参数条款后显著标记“此项提供现场演示”，</w:t>
      </w:r>
      <w:r>
        <w:rPr>
          <w:rFonts w:hint="eastAsia" w:ascii="仿宋" w:hAnsi="仿宋" w:eastAsia="仿宋"/>
          <w:b/>
          <w:bCs/>
          <w:color w:val="FF0000"/>
          <w:sz w:val="24"/>
        </w:rPr>
        <w:t>要求演示的技术参数应当客观明确，不能有含糊字眼，不能把不具有可操作性的参数、带有形容词描述的参数作演示要求</w:t>
      </w:r>
      <w:r>
        <w:rPr>
          <w:rFonts w:hint="eastAsia" w:ascii="仿宋_GB2312" w:hAnsi="宋体" w:eastAsia="仿宋_GB2312"/>
          <w:bCs/>
          <w:color w:val="FF0000"/>
          <w:sz w:val="24"/>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02"/>
        <w:gridCol w:w="1444"/>
        <w:gridCol w:w="5836"/>
      </w:tblGrid>
      <w:tr w14:paraId="4AA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14:paraId="22138801">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668" w:type="pct"/>
            <w:vAlign w:val="center"/>
          </w:tcPr>
          <w:p w14:paraId="26A367AD">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序号</w:t>
            </w:r>
          </w:p>
        </w:tc>
        <w:tc>
          <w:tcPr>
            <w:tcW w:w="741" w:type="pct"/>
            <w:vAlign w:val="center"/>
          </w:tcPr>
          <w:p w14:paraId="5F43A95A">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货物</w:t>
            </w:r>
          </w:p>
          <w:p w14:paraId="5E8976A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名称</w:t>
            </w:r>
          </w:p>
        </w:tc>
        <w:tc>
          <w:tcPr>
            <w:tcW w:w="2995" w:type="pct"/>
            <w:vAlign w:val="center"/>
          </w:tcPr>
          <w:p w14:paraId="0502A1F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技术规格及要求</w:t>
            </w:r>
          </w:p>
        </w:tc>
      </w:tr>
      <w:tr w14:paraId="304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C75DB8B">
            <w:pPr>
              <w:spacing w:line="400" w:lineRule="exact"/>
              <w:jc w:val="center"/>
              <w:rPr>
                <w:rFonts w:ascii="仿宋_GB2312" w:eastAsia="仿宋_GB2312" w:cs="宋体"/>
                <w:color w:val="000000"/>
                <w:sz w:val="24"/>
              </w:rPr>
            </w:pPr>
          </w:p>
        </w:tc>
        <w:tc>
          <w:tcPr>
            <w:tcW w:w="668" w:type="pct"/>
            <w:vAlign w:val="center"/>
          </w:tcPr>
          <w:p w14:paraId="3BC9BCF5">
            <w:pPr>
              <w:spacing w:line="400" w:lineRule="exact"/>
              <w:jc w:val="center"/>
              <w:rPr>
                <w:rFonts w:ascii="仿宋_GB2312" w:eastAsia="仿宋_GB2312" w:cs="宋体"/>
                <w:color w:val="000000"/>
                <w:sz w:val="24"/>
              </w:rPr>
            </w:pPr>
            <w:bookmarkStart w:id="0" w:name="_Toc10192"/>
            <w:bookmarkStart w:id="1" w:name="_Toc22389"/>
          </w:p>
          <w:bookmarkEnd w:id="0"/>
          <w:bookmarkEnd w:id="1"/>
        </w:tc>
        <w:tc>
          <w:tcPr>
            <w:tcW w:w="741" w:type="pct"/>
            <w:vAlign w:val="center"/>
          </w:tcPr>
          <w:p w14:paraId="6F53E20B">
            <w:pPr>
              <w:spacing w:line="400" w:lineRule="exact"/>
              <w:jc w:val="center"/>
              <w:rPr>
                <w:rFonts w:ascii="仿宋_GB2312" w:eastAsia="仿宋_GB2312" w:cs="宋体"/>
                <w:color w:val="000000"/>
                <w:sz w:val="24"/>
              </w:rPr>
            </w:pPr>
          </w:p>
        </w:tc>
        <w:tc>
          <w:tcPr>
            <w:tcW w:w="2995" w:type="pct"/>
            <w:vAlign w:val="center"/>
          </w:tcPr>
          <w:p w14:paraId="45ED314E">
            <w:pPr>
              <w:pStyle w:val="10"/>
              <w:spacing w:line="400" w:lineRule="exact"/>
              <w:ind w:firstLine="0" w:firstLineChars="0"/>
              <w:jc w:val="left"/>
              <w:rPr>
                <w:rFonts w:ascii="仿宋_GB2312" w:eastAsia="仿宋_GB2312" w:cs="宋体"/>
                <w:color w:val="000000"/>
                <w:sz w:val="24"/>
                <w:szCs w:val="24"/>
              </w:rPr>
            </w:pPr>
          </w:p>
        </w:tc>
      </w:tr>
      <w:tr w14:paraId="67E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9B36D14">
            <w:pPr>
              <w:spacing w:line="400" w:lineRule="exact"/>
              <w:jc w:val="center"/>
              <w:rPr>
                <w:rFonts w:ascii="仿宋_GB2312" w:eastAsia="仿宋_GB2312" w:cs="宋体"/>
                <w:color w:val="000000"/>
                <w:sz w:val="24"/>
              </w:rPr>
            </w:pPr>
          </w:p>
        </w:tc>
        <w:tc>
          <w:tcPr>
            <w:tcW w:w="668" w:type="pct"/>
            <w:vAlign w:val="center"/>
          </w:tcPr>
          <w:p w14:paraId="0A5325DF">
            <w:pPr>
              <w:spacing w:line="400" w:lineRule="exact"/>
              <w:jc w:val="center"/>
              <w:rPr>
                <w:rFonts w:ascii="仿宋_GB2312" w:eastAsia="仿宋_GB2312" w:cs="宋体"/>
                <w:color w:val="000000"/>
                <w:sz w:val="24"/>
              </w:rPr>
            </w:pPr>
          </w:p>
        </w:tc>
        <w:tc>
          <w:tcPr>
            <w:tcW w:w="741" w:type="pct"/>
            <w:vAlign w:val="center"/>
          </w:tcPr>
          <w:p w14:paraId="72105643">
            <w:pPr>
              <w:spacing w:line="400" w:lineRule="exact"/>
              <w:jc w:val="center"/>
              <w:rPr>
                <w:rFonts w:ascii="仿宋_GB2312" w:eastAsia="仿宋_GB2312" w:cs="宋体"/>
                <w:color w:val="000000"/>
                <w:sz w:val="24"/>
              </w:rPr>
            </w:pPr>
          </w:p>
        </w:tc>
        <w:tc>
          <w:tcPr>
            <w:tcW w:w="2995" w:type="pct"/>
            <w:vAlign w:val="center"/>
          </w:tcPr>
          <w:p w14:paraId="3AAAA0D9">
            <w:pPr>
              <w:pStyle w:val="10"/>
              <w:spacing w:line="400" w:lineRule="exact"/>
              <w:ind w:firstLine="0" w:firstLineChars="0"/>
              <w:jc w:val="left"/>
              <w:rPr>
                <w:rFonts w:ascii="仿宋_GB2312" w:eastAsia="仿宋_GB2312" w:cs="宋体"/>
                <w:color w:val="000000"/>
                <w:sz w:val="24"/>
                <w:szCs w:val="24"/>
              </w:rPr>
            </w:pPr>
          </w:p>
        </w:tc>
      </w:tr>
      <w:tr w14:paraId="292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1F6AEEB">
            <w:pPr>
              <w:spacing w:line="400" w:lineRule="exact"/>
              <w:jc w:val="center"/>
              <w:rPr>
                <w:rFonts w:ascii="仿宋_GB2312" w:eastAsia="仿宋_GB2312" w:cs="宋体"/>
                <w:color w:val="000000"/>
                <w:sz w:val="24"/>
              </w:rPr>
            </w:pPr>
          </w:p>
        </w:tc>
        <w:tc>
          <w:tcPr>
            <w:tcW w:w="668" w:type="pct"/>
            <w:vAlign w:val="center"/>
          </w:tcPr>
          <w:p w14:paraId="04C2322D">
            <w:pPr>
              <w:spacing w:line="400" w:lineRule="exact"/>
              <w:jc w:val="center"/>
              <w:rPr>
                <w:rFonts w:ascii="仿宋_GB2312" w:eastAsia="仿宋_GB2312" w:cs="宋体"/>
                <w:color w:val="000000"/>
                <w:sz w:val="24"/>
              </w:rPr>
            </w:pPr>
          </w:p>
        </w:tc>
        <w:tc>
          <w:tcPr>
            <w:tcW w:w="741" w:type="pct"/>
            <w:vAlign w:val="center"/>
          </w:tcPr>
          <w:p w14:paraId="25630452">
            <w:pPr>
              <w:spacing w:line="400" w:lineRule="exact"/>
              <w:jc w:val="center"/>
              <w:rPr>
                <w:rFonts w:ascii="仿宋_GB2312" w:eastAsia="仿宋_GB2312" w:cs="宋体"/>
                <w:color w:val="000000"/>
                <w:sz w:val="24"/>
              </w:rPr>
            </w:pPr>
          </w:p>
        </w:tc>
        <w:tc>
          <w:tcPr>
            <w:tcW w:w="2995" w:type="pct"/>
            <w:vAlign w:val="center"/>
          </w:tcPr>
          <w:p w14:paraId="0A0ADA44">
            <w:pPr>
              <w:pStyle w:val="10"/>
              <w:spacing w:line="400" w:lineRule="exact"/>
              <w:ind w:firstLine="0" w:firstLineChars="0"/>
              <w:jc w:val="left"/>
              <w:rPr>
                <w:rFonts w:ascii="仿宋_GB2312" w:eastAsia="仿宋_GB2312" w:cs="宋体"/>
                <w:color w:val="000000"/>
                <w:sz w:val="24"/>
                <w:szCs w:val="24"/>
              </w:rPr>
            </w:pPr>
          </w:p>
        </w:tc>
      </w:tr>
    </w:tbl>
    <w:p w14:paraId="136E7C65">
      <w:pPr>
        <w:spacing w:line="360" w:lineRule="auto"/>
        <w:jc w:val="left"/>
        <w:rPr>
          <w:rFonts w:ascii="仿宋_GB2312" w:hAnsi="宋体" w:eastAsia="仿宋_GB2312"/>
          <w:bCs/>
          <w:color w:val="FF0000"/>
          <w:sz w:val="24"/>
        </w:rPr>
      </w:pPr>
      <w:bookmarkStart w:id="2" w:name="_Toc18276"/>
      <w:bookmarkStart w:id="3" w:name="_Toc28949"/>
      <w:r>
        <w:rPr>
          <w:rFonts w:hint="eastAsia" w:ascii="仿宋_GB2312" w:hAnsi="宋体" w:eastAsia="仿宋_GB2312"/>
          <w:bCs/>
          <w:sz w:val="24"/>
        </w:rPr>
        <w:t>2.样品内容及样品提交要求</w:t>
      </w:r>
      <w:r>
        <w:rPr>
          <w:rFonts w:hint="eastAsia" w:ascii="仿宋_GB2312" w:hAnsi="宋体" w:eastAsia="仿宋_GB2312"/>
          <w:bCs/>
          <w:color w:val="FF0000"/>
          <w:sz w:val="24"/>
        </w:rPr>
        <w:t>（若有</w:t>
      </w:r>
      <w:r>
        <w:rPr>
          <w:rFonts w:hint="eastAsia" w:ascii="仿宋" w:hAnsi="仿宋" w:eastAsia="仿宋"/>
          <w:bCs/>
          <w:color w:val="FF0000"/>
          <w:sz w:val="24"/>
        </w:rPr>
        <w:t>，非必须要求</w:t>
      </w:r>
      <w:r>
        <w:rPr>
          <w:rFonts w:hint="eastAsia" w:ascii="仿宋_GB2312" w:hAnsi="宋体" w:eastAsia="仿宋_GB2312"/>
          <w:bCs/>
          <w:color w:val="FF0000"/>
          <w:sz w:val="24"/>
        </w:rPr>
        <w:t>）</w:t>
      </w:r>
    </w:p>
    <w:p w14:paraId="32D8D238">
      <w:pPr>
        <w:spacing w:line="360" w:lineRule="auto"/>
        <w:jc w:val="left"/>
        <w:rPr>
          <w:rFonts w:ascii="仿宋_GB2312" w:hAnsi="宋体" w:eastAsia="仿宋_GB2312"/>
          <w:b/>
          <w:sz w:val="24"/>
        </w:rPr>
      </w:pPr>
    </w:p>
    <w:p w14:paraId="6A7872F3">
      <w:pPr>
        <w:spacing w:line="360" w:lineRule="auto"/>
        <w:jc w:val="left"/>
        <w:rPr>
          <w:rFonts w:ascii="仿宋_GB2312" w:hAnsi="宋体" w:eastAsia="仿宋_GB2312"/>
          <w:b/>
          <w:sz w:val="24"/>
        </w:rPr>
      </w:pPr>
      <w:r>
        <w:rPr>
          <w:rFonts w:hint="eastAsia" w:ascii="仿宋_GB2312" w:hAnsi="宋体" w:eastAsia="仿宋_GB2312"/>
          <w:b/>
          <w:sz w:val="24"/>
        </w:rPr>
        <w:t>五、商务要求</w:t>
      </w:r>
    </w:p>
    <w:p w14:paraId="4CB33EF6">
      <w:pPr>
        <w:spacing w:line="360" w:lineRule="auto"/>
        <w:jc w:val="left"/>
        <w:rPr>
          <w:rFonts w:ascii="仿宋_GB2312" w:eastAsia="仿宋_GB2312"/>
          <w:bCs/>
          <w:sz w:val="24"/>
        </w:rPr>
      </w:pPr>
      <w:r>
        <w:rPr>
          <w:rFonts w:hint="eastAsia" w:ascii="仿宋_GB2312" w:hAnsi="宋体" w:eastAsia="仿宋_GB2312"/>
          <w:bCs/>
          <w:sz w:val="24"/>
        </w:rPr>
        <w:t>1.交货期、地点</w:t>
      </w:r>
    </w:p>
    <w:p w14:paraId="47F13DA9">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rPr>
        <w:t>1.1交货期：合同签订之日起</w:t>
      </w:r>
      <w:r>
        <w:rPr>
          <w:rFonts w:hint="eastAsia" w:ascii="仿宋_GB2312" w:hAnsi="宋体" w:eastAsia="仿宋_GB2312" w:cs="宋体"/>
          <w:bCs/>
          <w:color w:val="000000"/>
          <w:kern w:val="0"/>
          <w:sz w:val="24"/>
          <w:u w:val="single"/>
        </w:rPr>
        <w:t xml:space="preserve">   </w:t>
      </w:r>
      <w:r>
        <w:rPr>
          <w:rFonts w:hint="eastAsia" w:ascii="仿宋_GB2312" w:hAnsi="宋体" w:eastAsia="仿宋_GB2312" w:cs="宋体"/>
          <w:bCs/>
          <w:color w:val="000000"/>
          <w:kern w:val="0"/>
          <w:sz w:val="24"/>
        </w:rPr>
        <w:t>个日历天内安装调试完毕。</w:t>
      </w:r>
    </w:p>
    <w:p w14:paraId="338270CD">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rPr>
        <w:t>1.2交货地点：</w:t>
      </w:r>
      <w:r>
        <w:rPr>
          <w:rFonts w:hint="eastAsia" w:ascii="仿宋_GB2312" w:hAnsi="宋体" w:eastAsia="仿宋_GB2312" w:cs="宋体"/>
          <w:bCs/>
          <w:color w:val="000000"/>
          <w:kern w:val="0"/>
          <w:sz w:val="24"/>
          <w:u w:val="single"/>
        </w:rPr>
        <w:t xml:space="preserve">                 </w:t>
      </w:r>
    </w:p>
    <w:p w14:paraId="520E801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rPr>
        <w:t>2</w:t>
      </w:r>
      <w:r>
        <w:rPr>
          <w:rFonts w:ascii="仿宋_GB2312" w:hAnsi="宋体" w:eastAsia="仿宋_GB2312" w:cs="宋体"/>
          <w:bCs/>
          <w:color w:val="000000"/>
          <w:kern w:val="0"/>
          <w:sz w:val="24"/>
        </w:rPr>
        <w:t>.</w:t>
      </w:r>
      <w:r>
        <w:rPr>
          <w:rFonts w:hint="eastAsia" w:ascii="仿宋_GB2312" w:hAnsi="宋体" w:eastAsia="仿宋_GB2312" w:cs="宋体"/>
          <w:bCs/>
          <w:color w:val="000000"/>
          <w:kern w:val="0"/>
          <w:sz w:val="24"/>
        </w:rPr>
        <w:t>结算方式及要求</w:t>
      </w:r>
      <w:r>
        <w:rPr>
          <w:rFonts w:hint="eastAsia" w:ascii="仿宋_GB2312" w:hAnsi="宋体" w:eastAsia="仿宋_GB2312" w:cs="宋体"/>
          <w:bCs/>
          <w:color w:val="FF0000"/>
          <w:kern w:val="0"/>
          <w:sz w:val="24"/>
        </w:rPr>
        <w:t>（若有，根据项目实际情况填写）</w:t>
      </w:r>
    </w:p>
    <w:p w14:paraId="06AC2AA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例1：按实结算，分批分次/每月/每季度/（或者自定义结算时间跨度）结算</w:t>
      </w:r>
    </w:p>
    <w:p w14:paraId="4950797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每个产品结算价=最高单价限价*中标折扣*实际采购数量，结算总价为每个产品结算价的累加之和。</w:t>
      </w:r>
    </w:p>
    <w:p w14:paraId="491A98A3">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若无特殊结算要求，则填写“无”。</w:t>
      </w:r>
    </w:p>
    <w:p w14:paraId="0EC616FA">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3.</w:t>
      </w:r>
      <w:r>
        <w:rPr>
          <w:rFonts w:hint="eastAsia" w:ascii="仿宋_GB2312" w:hAnsi="宋体" w:eastAsia="仿宋_GB2312"/>
          <w:bCs/>
          <w:sz w:val="24"/>
        </w:rPr>
        <w:t>付款方式</w:t>
      </w:r>
      <w:r>
        <w:rPr>
          <w:rFonts w:hint="eastAsia" w:ascii="仿宋_GB2312" w:hAnsi="宋体" w:eastAsia="仿宋_GB2312" w:cs="宋体"/>
          <w:bCs/>
          <w:color w:val="000000"/>
          <w:kern w:val="0"/>
          <w:sz w:val="24"/>
        </w:rPr>
        <w:t>及要求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325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ACB68F">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D446480">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1FE17593">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5404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A2EDB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rPr>
              <w:t>（按次/月/季度/（或者自定义结算时间跨度）</w:t>
            </w:r>
          </w:p>
        </w:tc>
        <w:tc>
          <w:tcPr>
            <w:tcW w:w="1418" w:type="dxa"/>
          </w:tcPr>
          <w:p w14:paraId="779E83E2">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49641A07">
            <w:pPr>
              <w:spacing w:line="360" w:lineRule="auto"/>
              <w:ind w:firstLine="480" w:firstLineChars="200"/>
              <w:jc w:val="left"/>
              <w:rPr>
                <w:rFonts w:ascii="仿宋_GB2312" w:eastAsia="仿宋_GB2312" w:cs="宋体"/>
                <w:bCs/>
                <w:color w:val="FF0000"/>
                <w:kern w:val="0"/>
                <w:sz w:val="24"/>
              </w:rPr>
            </w:pPr>
            <w:r>
              <w:rPr>
                <w:rFonts w:hint="eastAsia" w:ascii="仿宋_GB2312" w:hAnsi="宋体" w:eastAsia="仿宋_GB2312" w:cs="宋体"/>
                <w:bCs/>
                <w:color w:val="FF0000"/>
                <w:kern w:val="0"/>
                <w:sz w:val="24"/>
              </w:rPr>
              <w:t>例如：所有货物运至采购人指定地点安装并调试完毕，经采购人验收合格后，（若项目中涉及装修、改造等工程施工内容增加此项要求：其中施工部分应结清施工及安装过程产生的水、电及垃圾清运等费用）中标人提供增值税专用发票，采购人在收到发票之日起</w:t>
            </w:r>
            <w:r>
              <w:rPr>
                <w:rFonts w:hint="eastAsia" w:ascii="仿宋_GB2312" w:hAnsi="宋体" w:eastAsia="仿宋_GB2312" w:cs="宋体"/>
                <w:color w:val="FF0000"/>
                <w:kern w:val="0"/>
                <w:sz w:val="24"/>
                <w:u w:val="single"/>
              </w:rPr>
              <w:t xml:space="preserve">  </w:t>
            </w:r>
            <w:r>
              <w:rPr>
                <w:rFonts w:hint="eastAsia" w:ascii="仿宋_GB2312" w:hAnsi="宋体" w:eastAsia="仿宋_GB2312" w:cs="宋体"/>
                <w:color w:val="FF0000"/>
                <w:kern w:val="0"/>
                <w:sz w:val="24"/>
              </w:rPr>
              <w:t>日内</w:t>
            </w:r>
            <w:r>
              <w:rPr>
                <w:rFonts w:hint="eastAsia" w:ascii="仿宋_GB2312" w:hAnsi="宋体" w:eastAsia="仿宋_GB2312" w:cs="宋体"/>
                <w:bCs/>
                <w:color w:val="FF0000"/>
                <w:kern w:val="0"/>
                <w:sz w:val="24"/>
              </w:rPr>
              <w:t>支付。</w:t>
            </w:r>
          </w:p>
          <w:p w14:paraId="6207DE8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rPr>
              <w:t>注：采购人支付时间不可超过14日</w:t>
            </w:r>
          </w:p>
        </w:tc>
      </w:tr>
      <w:tr w14:paraId="165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B98FDD">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5FEF122B">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22AD3A0C">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0C77B39">
      <w:pPr>
        <w:spacing w:line="360" w:lineRule="auto"/>
        <w:ind w:firstLine="480" w:firstLineChars="200"/>
        <w:jc w:val="left"/>
        <w:rPr>
          <w:rFonts w:ascii="仿宋_GB2312" w:hAnsi="宋体" w:eastAsia="仿宋_GB2312" w:cs="宋体"/>
          <w:bCs/>
          <w:color w:val="000000"/>
          <w:kern w:val="0"/>
          <w:sz w:val="24"/>
        </w:rPr>
      </w:pPr>
    </w:p>
    <w:p w14:paraId="38B615AF">
      <w:pPr>
        <w:spacing w:line="360" w:lineRule="auto"/>
        <w:jc w:val="left"/>
        <w:rPr>
          <w:rFonts w:ascii="仿宋_GB2312" w:eastAsia="仿宋_GB2312"/>
          <w:sz w:val="24"/>
        </w:rPr>
      </w:pPr>
      <w:r>
        <w:rPr>
          <w:rFonts w:hint="eastAsia" w:ascii="仿宋_GB2312" w:eastAsia="仿宋_GB2312"/>
          <w:sz w:val="24"/>
        </w:rPr>
        <w:t>4.履约保证金:</w:t>
      </w:r>
    </w:p>
    <w:p w14:paraId="3ECDCECA">
      <w:pPr>
        <w:spacing w:line="360" w:lineRule="auto"/>
        <w:ind w:firstLine="480" w:firstLineChars="200"/>
        <w:jc w:val="left"/>
        <w:rPr>
          <w:rFonts w:ascii="仿宋_GB2312" w:eastAsia="仿宋_GB2312"/>
          <w:color w:val="FF0000"/>
          <w:sz w:val="24"/>
        </w:rPr>
      </w:pPr>
      <w:r>
        <w:rPr>
          <w:rFonts w:hint="eastAsia" w:ascii="仿宋_GB2312" w:eastAsia="仿宋_GB2312"/>
          <w:sz w:val="24"/>
        </w:rPr>
        <w:t>中标人在合同签订时，向采购人缴纳合同总金额的</w:t>
      </w:r>
      <w:r>
        <w:rPr>
          <w:rFonts w:hint="eastAsia" w:ascii="仿宋_GB2312" w:eastAsia="仿宋_GB2312"/>
          <w:sz w:val="24"/>
          <w:u w:val="single"/>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color w:val="FF0000"/>
          <w:sz w:val="24"/>
        </w:rPr>
        <w:t>（此括号内内容针对不专门面向中小企业的项目）</w:t>
      </w:r>
      <w:r>
        <w:rPr>
          <w:rFonts w:hint="eastAsia" w:ascii="仿宋_GB2312" w:eastAsia="仿宋_GB2312"/>
          <w:sz w:val="24"/>
        </w:rPr>
        <w:t>。中标人若以电子保函形式提交履约保证金的，要求提供独立保函且保函期限覆盖本项目合同期限。 中标人若以其他方式提交履约保证金的，该履约保证金在项目最终验收合格之日起至合同期满后，待中标人完整履行合同，且无质量问题，采购人予以无息退还履约保证金。</w:t>
      </w:r>
    </w:p>
    <w:p w14:paraId="7450B258">
      <w:pPr>
        <w:spacing w:line="360" w:lineRule="auto"/>
        <w:jc w:val="left"/>
        <w:rPr>
          <w:rFonts w:ascii="仿宋_GB2312" w:eastAsia="仿宋_GB2312"/>
          <w:bCs/>
          <w:sz w:val="24"/>
        </w:rPr>
      </w:pPr>
      <w:r>
        <w:rPr>
          <w:rFonts w:hint="eastAsia" w:ascii="仿宋_GB2312" w:hAnsi="宋体" w:eastAsia="仿宋_GB2312"/>
          <w:bCs/>
          <w:sz w:val="24"/>
        </w:rPr>
        <w:t>5.安装、调试及培训要求</w:t>
      </w:r>
      <w:bookmarkEnd w:id="2"/>
      <w:bookmarkEnd w:id="3"/>
    </w:p>
    <w:p w14:paraId="38443FFB">
      <w:pPr>
        <w:spacing w:line="360" w:lineRule="auto"/>
        <w:ind w:firstLine="360" w:firstLineChars="150"/>
        <w:jc w:val="left"/>
        <w:rPr>
          <w:rFonts w:hint="eastAsia" w:ascii="仿宋_GB2312" w:hAnsi="宋体" w:eastAsia="仿宋_GB2312"/>
          <w:bCs/>
          <w:sz w:val="24"/>
          <w:lang w:val="en-US" w:eastAsia="zh-CN"/>
        </w:rPr>
      </w:pPr>
      <w:r>
        <w:rPr>
          <w:rFonts w:hint="eastAsia" w:ascii="仿宋_GB2312" w:hAnsi="宋体" w:eastAsia="仿宋_GB2312"/>
          <w:bCs/>
          <w:sz w:val="24"/>
          <w:lang w:val="en-US" w:eastAsia="zh-CN"/>
        </w:rPr>
        <w:t>5.1安装调试要求</w:t>
      </w:r>
    </w:p>
    <w:p w14:paraId="7F614919">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r>
        <w:rPr>
          <w:rFonts w:hint="eastAsia" w:ascii="仿宋_GB2312" w:hAnsi="宋体" w:eastAsia="仿宋_GB2312"/>
          <w:bCs/>
          <w:color w:val="FF0000"/>
          <w:sz w:val="24"/>
        </w:rPr>
        <w:t>若有涉及装修改造部分，增加此项要求：</w:t>
      </w:r>
      <w:r>
        <w:rPr>
          <w:rFonts w:hint="eastAsia" w:ascii="仿宋_GB2312" w:hAnsi="宋体" w:eastAsia="仿宋_GB2312"/>
          <w:bCs/>
          <w:sz w:val="24"/>
        </w:rPr>
        <w:t>施工过程应遵守采购人的相关规定，施工前应先报采购单位的后勤管理部门备案，取得《福建船政交通职业学院校园施工许可证》方可施工。工程施工所需的所有设施、器械及施工期间的水、电费用等一切费用全部由中标方承担。其中施工用水、用电应独立安装水、电表，施工用水、用电费用按自来水公司、电业局的收费标准由中标方自行缴纳。因中标方不按标准缴纳该费用，所造成工地停水、停电影响施工的，其责任由中标方负责。若因施工对采购人原有设备、设施造成损坏，应负责修复如初或照价赔偿。</w:t>
      </w:r>
    </w:p>
    <w:p w14:paraId="3CCFE02C">
      <w:pPr>
        <w:spacing w:line="360" w:lineRule="auto"/>
        <w:ind w:firstLine="360" w:firstLineChars="150"/>
        <w:jc w:val="left"/>
        <w:rPr>
          <w:rFonts w:hint="default" w:ascii="仿宋_GB2312" w:hAnsi="宋体" w:eastAsia="仿宋_GB2312"/>
          <w:bCs/>
          <w:sz w:val="24"/>
          <w:lang w:val="en-US" w:eastAsia="zh-CN"/>
        </w:rPr>
      </w:pPr>
      <w:r>
        <w:rPr>
          <w:rFonts w:hint="eastAsia" w:ascii="仿宋_GB2312" w:hAnsi="宋体" w:eastAsia="仿宋_GB2312"/>
          <w:bCs/>
          <w:sz w:val="24"/>
          <w:lang w:val="en-US" w:eastAsia="zh-CN"/>
        </w:rPr>
        <w:t>5.2培训要求</w:t>
      </w:r>
    </w:p>
    <w:p w14:paraId="3D521017">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培训：不能体现免费、直至、无限次要求中标人培训的要求，应当明确培训次数、培训内容</w:t>
      </w:r>
    </w:p>
    <w:p w14:paraId="4231E5FC">
      <w:pPr>
        <w:spacing w:line="360" w:lineRule="auto"/>
        <w:jc w:val="left"/>
        <w:rPr>
          <w:rFonts w:ascii="仿宋_GB2312" w:eastAsia="仿宋_GB2312"/>
          <w:bCs/>
          <w:sz w:val="24"/>
        </w:rPr>
      </w:pPr>
      <w:bookmarkStart w:id="4" w:name="_Toc6868"/>
      <w:bookmarkStart w:id="5" w:name="_Toc9478"/>
      <w:r>
        <w:rPr>
          <w:rFonts w:hint="eastAsia" w:ascii="仿宋_GB2312" w:hAnsi="宋体" w:eastAsia="仿宋_GB2312"/>
          <w:bCs/>
          <w:sz w:val="24"/>
        </w:rPr>
        <w:t>6.验收要求</w:t>
      </w:r>
      <w:bookmarkEnd w:id="4"/>
      <w:bookmarkEnd w:id="5"/>
    </w:p>
    <w:p w14:paraId="44A2E526">
      <w:pPr>
        <w:spacing w:line="360" w:lineRule="auto"/>
        <w:ind w:firstLine="600" w:firstLineChars="250"/>
        <w:jc w:val="left"/>
        <w:rPr>
          <w:rFonts w:ascii="仿宋_GB2312" w:hAnsi="宋体" w:eastAsia="仿宋_GB2312"/>
          <w:bCs/>
          <w:sz w:val="24"/>
        </w:rPr>
      </w:pPr>
      <w:r>
        <w:rPr>
          <w:rFonts w:hint="eastAsia" w:ascii="仿宋_GB2312" w:hAnsi="宋体" w:eastAsia="仿宋_GB2312"/>
          <w:bCs/>
          <w:color w:val="FF0000"/>
          <w:sz w:val="24"/>
        </w:rPr>
        <w:t>要求此项内容应具有实际可操作性，不要写符合相关国家标准、行业标准等虚话，应根据项目将来如何组织验收的实际情况展开描述。</w:t>
      </w:r>
    </w:p>
    <w:p w14:paraId="599F78F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6.1验收组织方式：自行验收，委托第三方验收</w:t>
      </w:r>
      <w:r>
        <w:rPr>
          <w:rFonts w:hint="eastAsia" w:ascii="仿宋_GB2312" w:hAnsi="宋体" w:eastAsia="仿宋_GB2312"/>
          <w:bCs/>
          <w:color w:val="FF0000"/>
          <w:sz w:val="24"/>
        </w:rPr>
        <w:t>（选择其中一种）</w:t>
      </w:r>
    </w:p>
    <w:p w14:paraId="4F11CF3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验收组织的其他事项：__</w:t>
      </w:r>
      <w:r>
        <w:rPr>
          <w:rFonts w:hint="eastAsia" w:ascii="仿宋_GB2312" w:hAnsi="宋体" w:eastAsia="仿宋_GB2312"/>
          <w:bCs/>
          <w:color w:val="FF0000"/>
          <w:sz w:val="24"/>
          <w:u w:val="single"/>
        </w:rPr>
        <w:t>（若有）</w:t>
      </w:r>
      <w:r>
        <w:rPr>
          <w:rFonts w:hint="eastAsia" w:ascii="仿宋_GB2312" w:hAnsi="宋体" w:eastAsia="仿宋_GB2312"/>
          <w:bCs/>
          <w:sz w:val="24"/>
          <w:u w:val="single"/>
        </w:rPr>
        <w:t>_</w:t>
      </w:r>
      <w:r>
        <w:rPr>
          <w:rFonts w:hint="eastAsia" w:ascii="仿宋_GB2312" w:hAnsi="宋体" w:eastAsia="仿宋_GB2312"/>
          <w:bCs/>
          <w:sz w:val="24"/>
        </w:rPr>
        <w:t>_________________</w:t>
      </w:r>
    </w:p>
    <w:p w14:paraId="73304C4A">
      <w:pPr>
        <w:spacing w:line="360" w:lineRule="auto"/>
        <w:ind w:firstLine="360" w:firstLineChars="150"/>
        <w:jc w:val="left"/>
        <w:rPr>
          <w:rFonts w:hint="default" w:ascii="仿宋_GB2312" w:hAnsi="宋体" w:eastAsia="仿宋_GB2312"/>
          <w:bCs/>
          <w:sz w:val="24"/>
          <w:lang w:val="en-US" w:eastAsia="zh-CN"/>
        </w:rPr>
      </w:pPr>
      <w:r>
        <w:rPr>
          <w:rFonts w:hint="eastAsia" w:ascii="仿宋_GB2312" w:hAnsi="宋体" w:eastAsia="仿宋_GB2312"/>
          <w:bCs/>
          <w:sz w:val="24"/>
        </w:rPr>
        <w:t>6.2履约验收时间：</w:t>
      </w:r>
      <w:r>
        <w:rPr>
          <w:rFonts w:hint="eastAsia" w:ascii="仿宋_GB2312" w:hAnsi="宋体" w:eastAsia="仿宋_GB2312"/>
          <w:bCs/>
          <w:sz w:val="24"/>
          <w:lang w:val="en-US" w:eastAsia="zh-CN"/>
        </w:rPr>
        <w:t>计划于何时验收/</w:t>
      </w:r>
      <w:r>
        <w:rPr>
          <w:rFonts w:hint="eastAsia" w:ascii="仿宋_GB2312" w:hAnsi="宋体" w:eastAsia="仿宋_GB2312"/>
          <w:bCs/>
          <w:sz w:val="24"/>
        </w:rPr>
        <w:t>供应商提出验收申请之日起_____日内组织验收</w:t>
      </w:r>
      <w:r>
        <w:rPr>
          <w:rFonts w:hint="eastAsia" w:ascii="仿宋_GB2312" w:hAnsi="宋体" w:eastAsia="仿宋_GB2312"/>
          <w:bCs/>
          <w:color w:val="FF0000"/>
          <w:sz w:val="24"/>
        </w:rPr>
        <w:t>（选择其中一种）</w:t>
      </w:r>
    </w:p>
    <w:p w14:paraId="27CB92A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6.3履约验收方式：一次性验收</w:t>
      </w:r>
      <w:r>
        <w:rPr>
          <w:rFonts w:hint="eastAsia" w:ascii="仿宋_GB2312" w:hAnsi="宋体" w:eastAsia="仿宋_GB2312"/>
          <w:bCs/>
          <w:sz w:val="24"/>
          <w:lang w:val="en-US" w:eastAsia="zh-CN"/>
        </w:rPr>
        <w:t>或</w:t>
      </w:r>
      <w:r>
        <w:rPr>
          <w:rFonts w:hint="eastAsia" w:ascii="仿宋_GB2312" w:hAnsi="宋体" w:eastAsia="仿宋_GB2312"/>
          <w:bCs/>
          <w:sz w:val="24"/>
        </w:rPr>
        <w:t>分期/分项验收：__________</w:t>
      </w:r>
      <w:r>
        <w:rPr>
          <w:rFonts w:hint="eastAsia" w:ascii="仿宋_GB2312" w:hAnsi="宋体" w:eastAsia="仿宋_GB2312"/>
          <w:bCs/>
          <w:color w:val="FF0000"/>
          <w:sz w:val="24"/>
        </w:rPr>
        <w:t>（选择其中一种）</w:t>
      </w:r>
    </w:p>
    <w:p w14:paraId="30B776F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6.4履约验收程序：____________________</w:t>
      </w:r>
    </w:p>
    <w:p w14:paraId="08477423">
      <w:pPr>
        <w:spacing w:line="360" w:lineRule="auto"/>
        <w:ind w:firstLine="360" w:firstLineChars="150"/>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参考条款如下</w:t>
      </w:r>
    </w:p>
    <w:p w14:paraId="6DC89F58">
      <w:pPr>
        <w:spacing w:line="360" w:lineRule="auto"/>
        <w:ind w:firstLine="360" w:firstLineChars="150"/>
        <w:jc w:val="left"/>
        <w:rPr>
          <w:rFonts w:hint="eastAsia" w:ascii="仿宋_GB2312" w:hAnsi="宋体" w:eastAsia="仿宋_GB2312"/>
          <w:bCs/>
          <w:color w:val="FF0000"/>
          <w:sz w:val="24"/>
        </w:rPr>
      </w:pPr>
      <w:r>
        <w:rPr>
          <w:rFonts w:hint="eastAsia" w:ascii="仿宋_GB2312" w:hAnsi="宋体" w:eastAsia="仿宋_GB2312"/>
          <w:bCs/>
          <w:color w:val="FF0000"/>
          <w:sz w:val="24"/>
        </w:rPr>
        <w:t>（1）采购人介绍本项目基本情况、验收小组成员、验收程序；（2）采购人介绍项目建设情况或项目服务完成情况或者验收内容；（3）采购人介绍项目验收材料或者验收结果形式等；（4）验收小组组长组织验收，出具验收意见；（5）若验收不合格，要求中标人在规定期限内整改，采购人重新组织验收。</w:t>
      </w:r>
    </w:p>
    <w:p w14:paraId="63D83DB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rPr>
        <w:t>6.5履约验收的内容：____</w:t>
      </w:r>
      <w:r>
        <w:rPr>
          <w:rFonts w:hint="eastAsia" w:ascii="仿宋_GB2312" w:hAnsi="宋体" w:eastAsia="仿宋_GB2312"/>
          <w:bCs/>
          <w:color w:val="FF0000"/>
          <w:sz w:val="24"/>
          <w:u w:val="single"/>
          <w:lang w:val="en-US" w:eastAsia="zh-CN"/>
        </w:rPr>
        <w:t>内容应当</w:t>
      </w:r>
      <w:r>
        <w:rPr>
          <w:rFonts w:hint="eastAsia" w:ascii="仿宋_GB2312" w:hAnsi="宋体" w:eastAsia="仿宋_GB2312"/>
          <w:bCs/>
          <w:color w:val="FF0000"/>
          <w:sz w:val="24"/>
          <w:u w:val="single"/>
          <w:lang w:val="en-US" w:eastAsia="zh-CN"/>
        </w:rPr>
        <w:t>具体明确</w:t>
      </w:r>
      <w:r>
        <w:rPr>
          <w:rFonts w:hint="eastAsia" w:ascii="仿宋_GB2312" w:hAnsi="宋体" w:eastAsia="仿宋_GB2312"/>
          <w:bCs/>
          <w:color w:val="FF0000"/>
          <w:sz w:val="24"/>
          <w:u w:val="single"/>
        </w:rPr>
        <w:t>_</w:t>
      </w:r>
      <w:r>
        <w:rPr>
          <w:rFonts w:hint="eastAsia" w:ascii="仿宋_GB2312" w:hAnsi="宋体" w:eastAsia="仿宋_GB2312"/>
          <w:bCs/>
          <w:sz w:val="24"/>
        </w:rPr>
        <w:t>____（应当包括每一项技术和商务要求的履约情况，特别是落实政府采购扶持中小企业，支持绿色发展和乡村振兴等政策情况）</w:t>
      </w:r>
    </w:p>
    <w:p w14:paraId="5E1CE57E">
      <w:pPr>
        <w:spacing w:line="360" w:lineRule="auto"/>
        <w:ind w:firstLine="360" w:firstLineChars="150"/>
        <w:jc w:val="left"/>
        <w:rPr>
          <w:rFonts w:hint="eastAsia" w:ascii="仿宋_GB2312" w:hAnsi="宋体" w:eastAsia="仿宋_GB2312"/>
          <w:bCs/>
          <w:color w:val="FF0000"/>
          <w:sz w:val="24"/>
          <w:lang w:val="en-US" w:eastAsia="zh-CN"/>
        </w:rPr>
      </w:pPr>
      <w:bookmarkStart w:id="6" w:name="_GoBack"/>
      <w:r>
        <w:rPr>
          <w:rFonts w:hint="eastAsia" w:ascii="仿宋_GB2312" w:hAnsi="宋体" w:eastAsia="仿宋_GB2312"/>
          <w:bCs/>
          <w:color w:val="FF0000"/>
          <w:sz w:val="24"/>
          <w:lang w:val="en-US" w:eastAsia="zh-CN"/>
        </w:rPr>
        <w:t>参考条款如下</w:t>
      </w:r>
    </w:p>
    <w:p w14:paraId="2061A703">
      <w:pPr>
        <w:spacing w:line="360" w:lineRule="auto"/>
        <w:ind w:firstLine="360" w:firstLineChars="150"/>
        <w:jc w:val="left"/>
        <w:rPr>
          <w:rFonts w:hint="default" w:ascii="仿宋_GB2312" w:hAnsi="宋体" w:eastAsia="仿宋_GB2312"/>
          <w:bCs/>
          <w:color w:val="FF0000"/>
          <w:sz w:val="24"/>
          <w:lang w:val="en-US" w:eastAsia="zh-CN"/>
        </w:rPr>
      </w:pPr>
      <w:r>
        <w:rPr>
          <w:rFonts w:hint="default" w:ascii="仿宋_GB2312" w:hAnsi="宋体" w:eastAsia="仿宋_GB2312"/>
          <w:bCs/>
          <w:color w:val="FF0000"/>
          <w:sz w:val="24"/>
          <w:lang w:val="en-US" w:eastAsia="zh-CN"/>
        </w:rPr>
        <w:t>核验产品品牌型号、产品数量、核验产品技术参数、核验产品软件运行情况、交付时间、服务内容等</w:t>
      </w:r>
    </w:p>
    <w:bookmarkEnd w:id="6"/>
    <w:p w14:paraId="1F50757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6.6履约验收标准：_____________________________</w:t>
      </w:r>
    </w:p>
    <w:p w14:paraId="59CE634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6.7是否以采购活动中供应商提供的样品作为参考</w:t>
      </w:r>
      <w:r>
        <w:rPr>
          <w:rFonts w:hint="eastAsia" w:ascii="仿宋_GB2312" w:hAnsi="宋体" w:eastAsia="仿宋_GB2312"/>
          <w:bCs/>
          <w:color w:val="FF0000"/>
          <w:sz w:val="24"/>
        </w:rPr>
        <w:t>（请自行判定是否，若是改为陈述性描述，若否则删除此项）</w:t>
      </w:r>
    </w:p>
    <w:p w14:paraId="0FDA2D0E">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sz w:val="24"/>
        </w:rPr>
        <w:t>6.8履约验收其他事项：___</w:t>
      </w:r>
      <w:r>
        <w:rPr>
          <w:rFonts w:hint="eastAsia" w:ascii="仿宋_GB2312" w:hAnsi="宋体" w:eastAsia="仿宋_GB2312"/>
          <w:bCs/>
          <w:color w:val="FF0000"/>
          <w:sz w:val="24"/>
          <w:u w:val="single"/>
        </w:rPr>
        <w:t>根据项目实际情况填写</w:t>
      </w:r>
      <w:r>
        <w:rPr>
          <w:rFonts w:hint="eastAsia" w:ascii="仿宋_GB2312" w:hAnsi="宋体" w:eastAsia="仿宋_GB2312"/>
          <w:bCs/>
          <w:color w:val="FF0000"/>
          <w:sz w:val="24"/>
          <w:u w:val="single"/>
          <w:lang w:eastAsia="zh-CN"/>
        </w:rPr>
        <w:t>（</w:t>
      </w:r>
      <w:r>
        <w:rPr>
          <w:rFonts w:hint="eastAsia" w:ascii="仿宋_GB2312" w:hAnsi="宋体" w:eastAsia="仿宋_GB2312"/>
          <w:bCs/>
          <w:color w:val="FF0000"/>
          <w:sz w:val="24"/>
          <w:u w:val="single"/>
        </w:rPr>
        <w:t>若有涉及装修改造部分，增加此项要求：装修或改造工程：按学院工程验收管理规定组织验收。</w:t>
      </w:r>
      <w:r>
        <w:rPr>
          <w:rFonts w:hint="eastAsia" w:ascii="仿宋_GB2312" w:hAnsi="宋体" w:eastAsia="仿宋_GB2312"/>
          <w:bCs/>
          <w:color w:val="FF0000"/>
          <w:sz w:val="24"/>
          <w:u w:val="single"/>
          <w:lang w:eastAsia="zh-CN"/>
        </w:rPr>
        <w:t>）</w:t>
      </w:r>
    </w:p>
    <w:p w14:paraId="05A2206B">
      <w:pPr>
        <w:spacing w:line="360" w:lineRule="auto"/>
        <w:ind w:firstLine="360" w:firstLineChars="150"/>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参考条款如下</w:t>
      </w:r>
    </w:p>
    <w:p w14:paraId="450D9665">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例1：项目验收过程中，若双方对采购产品质量、功能有争议的，认为须委托第三方机构</w:t>
      </w:r>
      <w:r>
        <w:rPr>
          <w:rFonts w:hint="eastAsia" w:ascii="仿宋_GB2312" w:hAnsi="宋体" w:eastAsia="仿宋_GB2312"/>
          <w:bCs/>
          <w:color w:val="FF0000"/>
          <w:sz w:val="24"/>
          <w:lang w:val="en-US" w:eastAsia="zh-CN"/>
        </w:rPr>
        <w:t>进行鉴定</w:t>
      </w:r>
      <w:r>
        <w:rPr>
          <w:rFonts w:hint="eastAsia" w:ascii="仿宋_GB2312" w:hAnsi="宋体" w:eastAsia="仿宋_GB2312"/>
          <w:bCs/>
          <w:color w:val="FF0000"/>
          <w:sz w:val="24"/>
        </w:rPr>
        <w:t>的，因此产生的全部相关费用由中标人承担。</w:t>
      </w:r>
    </w:p>
    <w:p w14:paraId="3C6E53D9">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例2：本次验收现场所发生一切费用包含在本次投标报价中，采购人不再支付费用。</w:t>
      </w:r>
    </w:p>
    <w:p w14:paraId="1E29E132">
      <w:pPr>
        <w:spacing w:line="360" w:lineRule="auto"/>
        <w:jc w:val="left"/>
        <w:rPr>
          <w:rFonts w:ascii="仿宋_GB2312" w:eastAsia="仿宋_GB2312"/>
          <w:bCs/>
          <w:sz w:val="24"/>
        </w:rPr>
      </w:pPr>
      <w:r>
        <w:rPr>
          <w:rFonts w:hint="eastAsia" w:ascii="仿宋_GB2312" w:hAnsi="宋体" w:eastAsia="仿宋_GB2312"/>
          <w:bCs/>
          <w:sz w:val="24"/>
        </w:rPr>
        <w:t>7.维保服务要求</w:t>
      </w:r>
    </w:p>
    <w:p w14:paraId="377C7395">
      <w:pPr>
        <w:spacing w:line="360" w:lineRule="auto"/>
        <w:ind w:firstLine="360" w:firstLineChars="150"/>
        <w:jc w:val="left"/>
        <w:rPr>
          <w:rFonts w:hint="eastAsia" w:ascii="仿宋_GB2312" w:hAnsi="宋体" w:eastAsia="仿宋_GB2312"/>
          <w:bCs/>
          <w:color w:val="FF0000"/>
          <w:sz w:val="24"/>
          <w:lang w:val="en-US" w:eastAsia="zh-CN"/>
        </w:rPr>
      </w:pPr>
      <w:r>
        <w:rPr>
          <w:rFonts w:hint="eastAsia" w:ascii="仿宋_GB2312" w:hAnsi="宋体" w:eastAsia="仿宋_GB2312"/>
          <w:bCs/>
          <w:sz w:val="24"/>
        </w:rPr>
        <w:t>7.1维保服务期：</w:t>
      </w:r>
      <w:r>
        <w:rPr>
          <w:rFonts w:ascii="仿宋_GB2312" w:hAnsi="宋体" w:eastAsia="仿宋_GB2312"/>
          <w:bCs/>
          <w:sz w:val="24"/>
        </w:rPr>
        <w:t xml:space="preserve"> </w:t>
      </w:r>
      <w:r>
        <w:rPr>
          <w:rFonts w:hint="eastAsia" w:ascii="仿宋_GB2312" w:hAnsi="宋体" w:eastAsia="仿宋_GB2312"/>
          <w:bCs/>
          <w:color w:val="FF0000"/>
          <w:sz w:val="24"/>
          <w:lang w:val="en-US" w:eastAsia="zh-CN"/>
        </w:rPr>
        <w:t>若一个项目统一维保期：项目</w:t>
      </w:r>
      <w:r>
        <w:rPr>
          <w:rFonts w:hint="eastAsia" w:ascii="仿宋_GB2312" w:hAnsi="宋体" w:eastAsia="仿宋_GB2312"/>
          <w:bCs/>
          <w:color w:val="FF0000"/>
          <w:sz w:val="24"/>
          <w:lang w:val="en-US" w:eastAsia="zh-CN"/>
        </w:rPr>
        <w:t>提供不少于XX年维保服务</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lang w:val="en-US" w:eastAsia="zh-CN"/>
        </w:rPr>
        <w:t>维保服务期自项目最终（即末次）验收合格之日起计算。</w:t>
      </w:r>
    </w:p>
    <w:p w14:paraId="06A209AC">
      <w:pPr>
        <w:spacing w:line="360" w:lineRule="auto"/>
        <w:ind w:firstLine="360" w:firstLineChars="150"/>
        <w:jc w:val="left"/>
        <w:rPr>
          <w:rFonts w:hint="eastAsia"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若一个项目不同维保期：</w:t>
      </w:r>
    </w:p>
    <w:p w14:paraId="3F8B6D1B">
      <w:pPr>
        <w:spacing w:line="360" w:lineRule="auto"/>
        <w:ind w:firstLine="360" w:firstLineChars="150"/>
        <w:jc w:val="left"/>
        <w:rPr>
          <w:rFonts w:hint="eastAsia"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例1：硬件类提供不少于XX年维保服务，软件类提供不少于XX年维保服务。维保服务期自项目最终（即末次）验收合格之日起计算。</w:t>
      </w:r>
    </w:p>
    <w:p w14:paraId="6C5D9CB9">
      <w:pPr>
        <w:spacing w:line="360" w:lineRule="auto"/>
        <w:ind w:firstLine="360" w:firstLineChars="150"/>
        <w:jc w:val="left"/>
        <w:rPr>
          <w:rFonts w:hint="eastAsia"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例2：采购标的“XX”</w:t>
      </w:r>
      <w:r>
        <w:rPr>
          <w:rFonts w:hint="eastAsia" w:ascii="仿宋_GB2312" w:hAnsi="宋体" w:eastAsia="仿宋_GB2312"/>
          <w:bCs/>
          <w:color w:val="FF0000"/>
          <w:sz w:val="24"/>
          <w:lang w:val="en-US" w:eastAsia="zh-CN"/>
        </w:rPr>
        <w:t>提供不少于XX年维保服务</w:t>
      </w:r>
      <w:r>
        <w:rPr>
          <w:rFonts w:hint="eastAsia" w:ascii="仿宋_GB2312" w:hAnsi="宋体" w:eastAsia="仿宋_GB2312"/>
          <w:bCs/>
          <w:color w:val="FF0000"/>
          <w:sz w:val="24"/>
          <w:lang w:val="en-US" w:eastAsia="zh-CN"/>
        </w:rPr>
        <w:t>，采购标的“XX”</w:t>
      </w:r>
      <w:r>
        <w:rPr>
          <w:rFonts w:hint="eastAsia" w:ascii="仿宋_GB2312" w:hAnsi="宋体" w:eastAsia="仿宋_GB2312"/>
          <w:bCs/>
          <w:color w:val="FF0000"/>
          <w:sz w:val="24"/>
          <w:lang w:val="en-US" w:eastAsia="zh-CN"/>
        </w:rPr>
        <w:t>提供不少于XX年维保服务</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lang w:val="en-US" w:eastAsia="zh-CN"/>
        </w:rPr>
        <w:t>维保服务期自项目最终（即末次）验收合格之日起计算。</w:t>
      </w:r>
    </w:p>
    <w:p w14:paraId="332EDD92">
      <w:pPr>
        <w:spacing w:line="360" w:lineRule="auto"/>
        <w:ind w:firstLine="360" w:firstLineChars="150"/>
        <w:jc w:val="left"/>
        <w:rPr>
          <w:rFonts w:hint="default" w:ascii="仿宋_GB2312" w:hAnsi="宋体" w:eastAsia="仿宋_GB2312"/>
          <w:bCs/>
          <w:sz w:val="24"/>
          <w:lang w:val="en-US" w:eastAsia="zh-CN"/>
        </w:rPr>
      </w:pPr>
      <w:r>
        <w:rPr>
          <w:rFonts w:hint="eastAsia" w:ascii="仿宋_GB2312" w:hAnsi="宋体" w:eastAsia="仿宋_GB2312"/>
          <w:bCs/>
          <w:sz w:val="24"/>
        </w:rPr>
        <w:t>7.2维保服务期内：</w:t>
      </w:r>
      <w:r>
        <w:rPr>
          <w:rFonts w:hint="eastAsia" w:ascii="仿宋_GB2312" w:hAnsi="宋体" w:eastAsia="仿宋_GB2312"/>
          <w:bCs/>
          <w:color w:val="FF0000"/>
          <w:sz w:val="24"/>
          <w:lang w:val="en-US" w:eastAsia="zh-CN"/>
        </w:rPr>
        <w:t>要求要写明响应时间、现场到达时间、需要维保解决什么问题、解决问题方式方法。</w:t>
      </w:r>
    </w:p>
    <w:p w14:paraId="20E904C0">
      <w:pPr>
        <w:spacing w:line="360" w:lineRule="auto"/>
        <w:ind w:firstLine="360" w:firstLineChars="150"/>
        <w:jc w:val="left"/>
        <w:rPr>
          <w:rFonts w:hint="default" w:ascii="仿宋_GB2312" w:hAnsi="宋体" w:eastAsia="仿宋_GB2312"/>
          <w:bCs/>
          <w:sz w:val="24"/>
          <w:lang w:val="en-US" w:eastAsia="zh-CN"/>
        </w:rPr>
      </w:pPr>
      <w:r>
        <w:rPr>
          <w:rFonts w:hint="eastAsia" w:ascii="仿宋_GB2312" w:hAnsi="宋体" w:eastAsia="仿宋_GB2312"/>
          <w:bCs/>
          <w:sz w:val="24"/>
        </w:rPr>
        <w:t>7.3维保服务期后：</w:t>
      </w:r>
      <w:r>
        <w:rPr>
          <w:rFonts w:hint="eastAsia" w:ascii="仿宋_GB2312" w:hAnsi="宋体" w:eastAsia="仿宋_GB2312"/>
          <w:bCs/>
          <w:color w:val="FF0000"/>
          <w:sz w:val="24"/>
          <w:lang w:val="en-US" w:eastAsia="zh-CN"/>
        </w:rPr>
        <w:t>要求写明具体需要做什么内容，解决问题方式方法。</w:t>
      </w:r>
    </w:p>
    <w:p w14:paraId="1AF39B84">
      <w:pPr>
        <w:spacing w:line="360" w:lineRule="auto"/>
        <w:jc w:val="left"/>
        <w:rPr>
          <w:rFonts w:ascii="仿宋_GB2312" w:hAnsi="宋体" w:eastAsia="仿宋_GB2312"/>
          <w:bCs/>
          <w:sz w:val="24"/>
        </w:rPr>
      </w:pPr>
      <w:r>
        <w:rPr>
          <w:rFonts w:hint="eastAsia" w:ascii="仿宋_GB2312" w:hAnsi="宋体" w:eastAsia="仿宋_GB2312"/>
          <w:bCs/>
          <w:sz w:val="24"/>
        </w:rPr>
        <w:t>8.技术资料要求</w:t>
      </w:r>
    </w:p>
    <w:p w14:paraId="7E9B3E5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290EA02E">
      <w:pPr>
        <w:spacing w:line="360" w:lineRule="auto"/>
        <w:jc w:val="left"/>
        <w:rPr>
          <w:rFonts w:ascii="仿宋_GB2312" w:eastAsia="仿宋_GB2312"/>
          <w:color w:val="FF0000"/>
          <w:sz w:val="24"/>
        </w:rPr>
      </w:pPr>
      <w:r>
        <w:rPr>
          <w:rFonts w:hint="eastAsia" w:ascii="仿宋_GB2312" w:eastAsia="仿宋_GB2312"/>
          <w:sz w:val="24"/>
        </w:rPr>
        <w:t>9．违约责任</w:t>
      </w:r>
      <w:r>
        <w:rPr>
          <w:rFonts w:hint="eastAsia" w:ascii="仿宋_GB2312" w:eastAsia="仿宋_GB2312"/>
          <w:color w:val="FF0000"/>
          <w:sz w:val="24"/>
        </w:rPr>
        <w:t>（注：以下条款为基本要求，可根据项目实际情况增加）</w:t>
      </w:r>
    </w:p>
    <w:p w14:paraId="0ACCDA70">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（1）中标人逾期履行服务的，中标人应按逾期交付总额每日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向采购人支付违约金，由采购人从待付货款中扣除。中标人无正当理由逾期超过约定日期30日仍不能交付的，视为“中标人不按合同约定履约”；</w:t>
      </w:r>
    </w:p>
    <w:p w14:paraId="17BF06FD">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2）中标人所交付的产品不符合合同规定及《采购文件》规定标准的，采购人有权拒收，中标人愿意更换产品但逾期交货的，按中标人逾期交货处理。中标人拒绝更换产品的，视为“中标人不按合同约定履约”；</w:t>
      </w:r>
    </w:p>
    <w:p w14:paraId="41D00EA1">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（3）中标人不按合同约定履约的，采购人可以解除采购合同，并对中标人已缴纳的履约保证金作“不予退还”处理。同时，中标人还须按合同金额的30%向采购人支付违约金。</w:t>
      </w:r>
    </w:p>
    <w:p w14:paraId="35CFED61">
      <w:pPr>
        <w:spacing w:line="360" w:lineRule="auto"/>
        <w:jc w:val="left"/>
        <w:rPr>
          <w:rFonts w:ascii="仿宋_GB2312" w:eastAsia="仿宋_GB2312"/>
          <w:bCs/>
          <w:sz w:val="24"/>
        </w:rPr>
      </w:pPr>
      <w:r>
        <w:rPr>
          <w:rFonts w:hint="eastAsia" w:ascii="仿宋_GB2312" w:eastAsia="仿宋_GB2312"/>
          <w:bCs/>
          <w:sz w:val="24"/>
        </w:rPr>
        <w:t>10.其他要求</w:t>
      </w:r>
      <w:r>
        <w:rPr>
          <w:rFonts w:hint="eastAsia" w:ascii="仿宋_GB2312" w:eastAsia="仿宋_GB2312"/>
          <w:bCs/>
          <w:color w:val="FF0000"/>
          <w:sz w:val="24"/>
        </w:rPr>
        <w:t>（若无其他要求，请删除此条目）</w:t>
      </w:r>
    </w:p>
    <w:p w14:paraId="695C4D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89DAFAC">
      <w:pPr>
        <w:spacing w:line="360" w:lineRule="auto"/>
        <w:jc w:val="left"/>
        <w:rPr>
          <w:rFonts w:ascii="仿宋_GB2312" w:hAnsi="宋体" w:eastAsia="仿宋_GB2312"/>
          <w:bCs/>
          <w:sz w:val="24"/>
        </w:rPr>
      </w:pPr>
    </w:p>
    <w:p w14:paraId="1C5F0E10">
      <w:pPr>
        <w:spacing w:line="360" w:lineRule="auto"/>
        <w:jc w:val="left"/>
        <w:rPr>
          <w:rFonts w:ascii="仿宋_GB2312" w:eastAsia="仿宋_GB2312"/>
          <w:bCs/>
          <w:sz w:val="24"/>
        </w:rPr>
      </w:pPr>
      <w:r>
        <w:rPr>
          <w:rFonts w:hint="eastAsia" w:ascii="仿宋_GB2312" w:hAnsi="宋体" w:eastAsia="仿宋_GB2312"/>
          <w:b/>
          <w:sz w:val="24"/>
        </w:rPr>
        <w:t>六、评标办法</w:t>
      </w:r>
      <w:r>
        <w:rPr>
          <w:rFonts w:hint="eastAsia" w:ascii="仿宋_GB2312" w:hAnsi="宋体" w:eastAsia="仿宋_GB2312"/>
          <w:bCs/>
          <w:color w:val="FF0000"/>
          <w:sz w:val="24"/>
        </w:rPr>
        <w:t>（请在以下两种评标方法中选其一即可，同时删除另一种评标办法）</w:t>
      </w:r>
    </w:p>
    <w:p w14:paraId="6624201F">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rPr>
        <w:t>1.最低评标价法。</w:t>
      </w:r>
    </w:p>
    <w:p w14:paraId="5FBEF9AF">
      <w:pPr>
        <w:spacing w:line="360" w:lineRule="auto"/>
        <w:ind w:firstLine="480" w:firstLineChars="200"/>
        <w:jc w:val="left"/>
        <w:rPr>
          <w:rFonts w:ascii="仿宋_GB2312" w:eastAsia="仿宋_GB2312" w:cs="宋体"/>
          <w:sz w:val="24"/>
        </w:rPr>
      </w:pPr>
      <w:r>
        <w:rPr>
          <w:rFonts w:hint="eastAsia" w:ascii="仿宋_GB2312" w:hAnsi="宋体" w:eastAsia="仿宋_GB2312"/>
          <w:bCs/>
          <w:sz w:val="24"/>
        </w:rPr>
        <w:t>2.综合评分法。</w:t>
      </w:r>
    </w:p>
    <w:p w14:paraId="5DEA8150">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10640DD5">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23D80030">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11B930C1">
      <w:pPr>
        <w:spacing w:line="360" w:lineRule="auto"/>
        <w:jc w:val="left"/>
        <w:rPr>
          <w:rFonts w:ascii="仿宋_GB2312" w:hAnsi="宋体" w:eastAsia="仿宋_GB2312"/>
          <w:bCs/>
          <w:color w:val="FF0000"/>
          <w:sz w:val="28"/>
          <w:szCs w:val="28"/>
          <w:highlight w:val="yellow"/>
        </w:rPr>
      </w:pPr>
      <w:r>
        <w:rPr>
          <w:rFonts w:hint="eastAsia" w:ascii="仿宋_GB2312" w:hAnsi="宋体" w:eastAsia="仿宋_GB2312"/>
          <w:b/>
          <w:color w:val="FF0000"/>
          <w:sz w:val="28"/>
          <w:szCs w:val="28"/>
          <w:highlight w:val="yellow"/>
        </w:rPr>
        <w:t>政策要求：</w:t>
      </w:r>
    </w:p>
    <w:p w14:paraId="5929D737">
      <w:pPr>
        <w:spacing w:line="360" w:lineRule="auto"/>
        <w:jc w:val="left"/>
        <w:rPr>
          <w:rFonts w:ascii="仿宋_GB2312" w:hAnsi="宋体" w:eastAsia="仿宋_GB2312"/>
          <w:b/>
          <w:color w:val="FF0000"/>
          <w:sz w:val="32"/>
          <w:szCs w:val="32"/>
          <w:highlight w:val="yellow"/>
        </w:rPr>
      </w:pPr>
      <w:r>
        <w:rPr>
          <w:rFonts w:hint="eastAsia" w:ascii="仿宋" w:hAnsi="仿宋" w:eastAsia="仿宋" w:cs="仿宋"/>
          <w:b/>
          <w:color w:val="FF0000"/>
          <w:sz w:val="32"/>
          <w:szCs w:val="32"/>
          <w:highlight w:val="yellow"/>
        </w:rPr>
        <w:t>①</w:t>
      </w:r>
      <w:r>
        <w:rPr>
          <w:rFonts w:ascii="仿宋_GB2312" w:hAnsi="宋体" w:eastAsia="仿宋_GB2312"/>
          <w:b/>
          <w:color w:val="FF0000"/>
          <w:sz w:val="32"/>
          <w:szCs w:val="32"/>
          <w:highlight w:val="yellow"/>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ascii="仿宋_GB2312" w:hAnsi="宋体" w:eastAsia="仿宋_GB2312"/>
          <w:b/>
          <w:color w:val="FF0000"/>
          <w:sz w:val="32"/>
          <w:szCs w:val="32"/>
          <w:highlight w:val="cyan"/>
        </w:rPr>
        <w:t>货物类项目尽可能不设置</w:t>
      </w:r>
      <w:r>
        <w:rPr>
          <w:rFonts w:ascii="仿宋_GB2312" w:hAnsi="宋体" w:eastAsia="仿宋_GB2312"/>
          <w:b/>
          <w:color w:val="FF0000"/>
          <w:sz w:val="32"/>
          <w:szCs w:val="32"/>
          <w:highlight w:val="yellow"/>
        </w:rPr>
        <w:t>主观评审因素</w:t>
      </w:r>
      <w:r>
        <w:rPr>
          <w:rFonts w:hint="eastAsia" w:ascii="仿宋_GB2312" w:hAnsi="宋体" w:eastAsia="仿宋_GB2312"/>
          <w:b/>
          <w:color w:val="FF0000"/>
          <w:sz w:val="32"/>
          <w:szCs w:val="32"/>
          <w:highlight w:val="yellow"/>
        </w:rPr>
        <w:t>。</w:t>
      </w:r>
    </w:p>
    <w:p w14:paraId="18D672D0">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在“评标方法描述”栏填写的评审要求的阐述应合理划分评审标准等次，每项评审因素不得少于 3个等次，明确每一等次的评审判断标准，努力实现主观评审因素的客观化，不得使用“优、良、中、差”等不具体、不明确的表述。</w:t>
      </w:r>
    </w:p>
    <w:p w14:paraId="387D57D5">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③</w:t>
      </w:r>
      <w:r>
        <w:rPr>
          <w:rFonts w:ascii="仿宋" w:hAnsi="仿宋" w:eastAsia="仿宋"/>
          <w:b/>
          <w:bCs/>
          <w:color w:val="FF0000"/>
          <w:sz w:val="32"/>
          <w:highlight w:val="yellow"/>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6A58100C">
      <w:pPr>
        <w:pStyle w:val="11"/>
        <w:spacing w:line="360" w:lineRule="auto"/>
        <w:ind w:firstLine="0" w:firstLineChars="0"/>
        <w:jc w:val="left"/>
        <w:rPr>
          <w:rFonts w:ascii="仿宋_GB2312" w:hAnsi="宋体" w:eastAsia="仿宋_GB2312"/>
          <w:bCs/>
          <w:color w:val="FF0000"/>
          <w:sz w:val="24"/>
        </w:rPr>
      </w:pPr>
      <w:r>
        <w:rPr>
          <w:rFonts w:hint="eastAsia" w:ascii="仿宋" w:hAnsi="仿宋" w:eastAsia="仿宋" w:cs="仿宋"/>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4</w:t>
      </w:r>
      <w:r>
        <w:rPr>
          <w:rFonts w:hint="eastAsia" w:ascii="仿宋_GB2312" w:hAnsi="宋体" w:eastAsia="仿宋_GB2312"/>
          <w:bCs/>
          <w:color w:val="FF0000"/>
          <w:sz w:val="24"/>
        </w:rPr>
        <w:t>0%，满分100分。</w:t>
      </w:r>
    </w:p>
    <w:p w14:paraId="282EDD02">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⑤若有</w:t>
      </w:r>
      <w:r>
        <w:rPr>
          <w:rFonts w:hint="eastAsia" w:ascii="仿宋_GB2312" w:hAnsi="宋体" w:eastAsia="仿宋_GB2312"/>
          <w:bCs/>
          <w:color w:val="FF0000"/>
          <w:sz w:val="24"/>
        </w:rPr>
        <w:t>演示要求应写明演示某个产品的某项功能或技术参数，且此项功能或技术参数应在货物技术参数及要求中列明，并做好显著标识。</w:t>
      </w:r>
    </w:p>
    <w:p w14:paraId="43E3D583">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样品展示应写明序号X某个产品的具体样品名称，列明具体的样品评审内容（如尺寸、材质等）。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演示或样品展示评分非必须评分项，请根据实际需求设置</w:t>
      </w: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演示或样品展示评分条款。</w:t>
      </w:r>
    </w:p>
    <w:p w14:paraId="44EFBEB1">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⑦</w:t>
      </w:r>
      <w:r>
        <w:rPr>
          <w:rFonts w:hint="eastAsia" w:ascii="仿宋" w:hAnsi="仿宋" w:eastAsia="仿宋"/>
          <w:color w:val="FF0000"/>
          <w:sz w:val="24"/>
          <w:szCs w:val="21"/>
        </w:rPr>
        <w:t>各采购包可根据实际需求设置不同评分办法。</w:t>
      </w:r>
    </w:p>
    <w:p w14:paraId="743DABD0">
      <w:pPr>
        <w:spacing w:line="360" w:lineRule="auto"/>
        <w:ind w:firstLine="643" w:firstLineChars="200"/>
        <w:jc w:val="left"/>
        <w:rPr>
          <w:rFonts w:ascii="仿宋_GB2312" w:hAnsi="宋体" w:eastAsia="仿宋_GB2312"/>
          <w:b/>
          <w:bCs/>
          <w:color w:val="FF0000"/>
          <w:sz w:val="32"/>
        </w:rPr>
      </w:pPr>
      <w:r>
        <w:rPr>
          <w:rFonts w:hint="eastAsia" w:ascii="仿宋_GB2312" w:hAnsi="宋体" w:eastAsia="仿宋_GB2312"/>
          <w:b/>
          <w:bCs/>
          <w:color w:val="FF0000"/>
          <w:sz w:val="32"/>
        </w:rPr>
        <w:t>综合评分参考样式：（注：以下评分分值、内容仅供参考，请据实采纳、调整、删除，切勿照搬）</w:t>
      </w:r>
    </w:p>
    <w:p w14:paraId="5B8AECDF">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49C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71B86A3">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622C8891">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0A0A90CB">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7AF0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6DD2A0D">
            <w:pPr>
              <w:spacing w:line="360" w:lineRule="auto"/>
              <w:jc w:val="left"/>
              <w:rPr>
                <w:rFonts w:ascii="仿宋_GB2312" w:hAnsi="宋体" w:eastAsia="仿宋_GB2312"/>
                <w:bCs/>
                <w:sz w:val="24"/>
              </w:rPr>
            </w:pPr>
            <w:r>
              <w:rPr>
                <w:rFonts w:hint="eastAsia" w:ascii="仿宋_GB2312" w:hAnsi="宋体" w:eastAsia="仿宋_GB2312"/>
                <w:bCs/>
                <w:sz w:val="24"/>
              </w:rPr>
              <w:t>技术要求响应情况</w:t>
            </w:r>
          </w:p>
        </w:tc>
        <w:tc>
          <w:tcPr>
            <w:tcW w:w="855" w:type="pct"/>
          </w:tcPr>
          <w:p w14:paraId="5BCEC80C">
            <w:pPr>
              <w:spacing w:line="360" w:lineRule="auto"/>
              <w:jc w:val="left"/>
              <w:rPr>
                <w:rFonts w:ascii="仿宋_GB2312" w:hAnsi="宋体" w:eastAsia="仿宋_GB2312"/>
                <w:bCs/>
                <w:color w:val="FF0000"/>
                <w:sz w:val="24"/>
              </w:rPr>
            </w:pPr>
          </w:p>
        </w:tc>
        <w:tc>
          <w:tcPr>
            <w:tcW w:w="3390" w:type="pct"/>
          </w:tcPr>
          <w:p w14:paraId="30184C52">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根据各投标人对招标文件第五章的“技术和服务要求”的逐项响应承诺等方面情况进行评分，投标人全部满足招标文件要求的得</w:t>
            </w:r>
            <w:r>
              <w:rPr>
                <w:rFonts w:hint="eastAsia" w:ascii="仿宋_GB2312" w:hAnsi="宋体" w:eastAsia="仿宋_GB2312"/>
                <w:bCs/>
                <w:color w:val="FF0000"/>
                <w:sz w:val="24"/>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条，每项1.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7D63DE0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分；未带“▲”号的技术参数，以每个产品为一个评分项（共X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或者以几条参数作为一个项号（共X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ECA100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2947D3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5CCC9F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36B2E0E">
            <w:pPr>
              <w:spacing w:line="360" w:lineRule="auto"/>
              <w:jc w:val="left"/>
              <w:rPr>
                <w:rFonts w:ascii="仿宋_GB2312" w:hAnsi="宋体" w:eastAsia="仿宋_GB2312"/>
                <w:bCs/>
                <w:sz w:val="24"/>
              </w:rPr>
            </w:pPr>
          </w:p>
        </w:tc>
      </w:tr>
      <w:tr w14:paraId="10C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3752DA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主要产品的佐证资料（若有）</w:t>
            </w:r>
          </w:p>
        </w:tc>
        <w:tc>
          <w:tcPr>
            <w:tcW w:w="855" w:type="pct"/>
          </w:tcPr>
          <w:p w14:paraId="6CEED3A5">
            <w:pPr>
              <w:spacing w:line="360" w:lineRule="auto"/>
              <w:jc w:val="left"/>
              <w:rPr>
                <w:rFonts w:ascii="仿宋_GB2312" w:hAnsi="宋体" w:eastAsia="仿宋_GB2312"/>
                <w:bCs/>
                <w:color w:val="FF0000"/>
                <w:sz w:val="24"/>
              </w:rPr>
            </w:pPr>
          </w:p>
        </w:tc>
        <w:tc>
          <w:tcPr>
            <w:tcW w:w="3390" w:type="pct"/>
          </w:tcPr>
          <w:p w14:paraId="7811650E">
            <w:pPr>
              <w:spacing w:line="360" w:lineRule="auto"/>
              <w:jc w:val="left"/>
              <w:rPr>
                <w:rFonts w:ascii="仿宋_GB2312" w:hAnsi="宋体" w:eastAsia="仿宋_GB2312"/>
                <w:bCs/>
                <w:sz w:val="24"/>
              </w:rPr>
            </w:pPr>
            <w:r>
              <w:rPr>
                <w:rFonts w:hint="eastAsia" w:ascii="仿宋_GB2312" w:hAnsi="宋体" w:eastAsia="仿宋_GB2312"/>
                <w:bCs/>
                <w:sz w:val="24"/>
              </w:rPr>
              <w:t>投标人所提供的彩页资料齐全，且全部佐证所投品目号1-1 XX产品的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的得3分；彩页仅能部分佐证所投产品的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的得2分，仅能佐证某1项技术参数及功能的得1分。彩页未能证明技术参数或未提供任何材料的本项不得分。</w:t>
            </w:r>
          </w:p>
        </w:tc>
      </w:tr>
      <w:tr w14:paraId="151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DC90A4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演示要求（若有）</w:t>
            </w:r>
          </w:p>
        </w:tc>
        <w:tc>
          <w:tcPr>
            <w:tcW w:w="855" w:type="pct"/>
          </w:tcPr>
          <w:p w14:paraId="3ABE99CD">
            <w:pPr>
              <w:spacing w:line="360" w:lineRule="auto"/>
              <w:jc w:val="left"/>
              <w:rPr>
                <w:rFonts w:ascii="仿宋_GB2312" w:hAnsi="宋体" w:eastAsia="仿宋_GB2312"/>
                <w:bCs/>
                <w:color w:val="FF0000"/>
                <w:sz w:val="24"/>
              </w:rPr>
            </w:pPr>
          </w:p>
        </w:tc>
        <w:tc>
          <w:tcPr>
            <w:tcW w:w="3390" w:type="pct"/>
          </w:tcPr>
          <w:p w14:paraId="25023F3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货物技术规格及要求”中已作出要求），量化演示内容评分依据（如从演示完成度量化分值、从视频呈现效果量化分值等）。</w:t>
            </w:r>
          </w:p>
          <w:p w14:paraId="4E01404E">
            <w:pPr>
              <w:spacing w:line="360" w:lineRule="auto"/>
              <w:jc w:val="left"/>
              <w:rPr>
                <w:rFonts w:ascii="仿宋_GB2312" w:hAnsi="宋体" w:eastAsia="仿宋_GB2312"/>
                <w:bCs/>
                <w:color w:val="FF0000"/>
                <w:sz w:val="24"/>
              </w:rPr>
            </w:pPr>
            <w:r>
              <w:rPr>
                <w:rFonts w:hint="eastAsia" w:ascii="仿宋_GB2312" w:hAnsi="宋体" w:eastAsia="仿宋_GB2312"/>
                <w:bCs/>
                <w:sz w:val="24"/>
              </w:rPr>
              <w:t>演示方式：采用自带设备现场演示或录制视频演示或PPT形式等。演示时间：为保证项目评审合理有序开展，每位投标人应做好充分的演示准备工作，并控制在XX分钟内完成演示内容，可左右浮动XX分钟，投标人不得以设备问题、自身技术能力问题等为理由拖延演示时间，投标人未在规定演示时间内完成演示内容，评委会将作出不利于投标人的判断。</w:t>
            </w:r>
          </w:p>
        </w:tc>
      </w:tr>
      <w:tr w14:paraId="28E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AE4D67D">
            <w:pPr>
              <w:spacing w:line="360" w:lineRule="auto"/>
              <w:jc w:val="left"/>
              <w:rPr>
                <w:rFonts w:ascii="仿宋_GB2312" w:hAnsi="宋体" w:eastAsia="仿宋_GB2312"/>
                <w:bCs/>
                <w:sz w:val="24"/>
              </w:rPr>
            </w:pPr>
          </w:p>
        </w:tc>
        <w:tc>
          <w:tcPr>
            <w:tcW w:w="855" w:type="pct"/>
          </w:tcPr>
          <w:p w14:paraId="4E1EFB14">
            <w:pPr>
              <w:spacing w:line="360" w:lineRule="auto"/>
              <w:jc w:val="left"/>
              <w:rPr>
                <w:rFonts w:ascii="仿宋_GB2312" w:hAnsi="宋体" w:eastAsia="仿宋_GB2312"/>
                <w:bCs/>
                <w:sz w:val="24"/>
              </w:rPr>
            </w:pPr>
          </w:p>
        </w:tc>
        <w:tc>
          <w:tcPr>
            <w:tcW w:w="3390" w:type="pct"/>
          </w:tcPr>
          <w:p w14:paraId="15C79A05">
            <w:pPr>
              <w:spacing w:line="360" w:lineRule="auto"/>
              <w:jc w:val="left"/>
              <w:rPr>
                <w:rFonts w:ascii="仿宋_GB2312" w:hAnsi="宋体" w:eastAsia="仿宋_GB2312"/>
                <w:bCs/>
                <w:sz w:val="24"/>
              </w:rPr>
            </w:pPr>
          </w:p>
        </w:tc>
      </w:tr>
    </w:tbl>
    <w:p w14:paraId="3DD401F8">
      <w:pPr>
        <w:spacing w:line="360" w:lineRule="auto"/>
        <w:jc w:val="left"/>
        <w:rPr>
          <w:rFonts w:ascii="仿宋_GB2312" w:hAnsi="宋体" w:eastAsia="仿宋_GB2312"/>
          <w:bCs/>
          <w:sz w:val="24"/>
        </w:rPr>
      </w:pPr>
    </w:p>
    <w:p w14:paraId="48B2E50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662C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9F5820E">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1286CAC0">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271558C6">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25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4F5C51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业绩（若有）</w:t>
            </w:r>
          </w:p>
        </w:tc>
        <w:tc>
          <w:tcPr>
            <w:tcW w:w="855" w:type="pct"/>
          </w:tcPr>
          <w:p w14:paraId="2D91D8F3">
            <w:pPr>
              <w:spacing w:line="360" w:lineRule="auto"/>
              <w:jc w:val="left"/>
              <w:rPr>
                <w:rFonts w:ascii="仿宋_GB2312" w:hAnsi="宋体" w:eastAsia="仿宋_GB2312"/>
                <w:bCs/>
                <w:color w:val="FF0000"/>
                <w:sz w:val="24"/>
              </w:rPr>
            </w:pPr>
          </w:p>
        </w:tc>
        <w:tc>
          <w:tcPr>
            <w:tcW w:w="3390" w:type="pct"/>
          </w:tcPr>
          <w:p w14:paraId="1341FF6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 xml:space="preserve">根据投标人提供的自20XX年以来（以合同或验收签订时间为准，请选一种）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4A8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4324AE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维保服务期时限承诺情况（若有）</w:t>
            </w:r>
          </w:p>
        </w:tc>
        <w:tc>
          <w:tcPr>
            <w:tcW w:w="855" w:type="pct"/>
          </w:tcPr>
          <w:p w14:paraId="1AB7911A">
            <w:pPr>
              <w:spacing w:line="360" w:lineRule="auto"/>
              <w:jc w:val="left"/>
              <w:rPr>
                <w:rFonts w:ascii="仿宋_GB2312" w:hAnsi="宋体" w:eastAsia="仿宋_GB2312"/>
                <w:bCs/>
                <w:color w:val="FF0000"/>
                <w:sz w:val="24"/>
              </w:rPr>
            </w:pPr>
          </w:p>
        </w:tc>
        <w:tc>
          <w:tcPr>
            <w:tcW w:w="3390" w:type="pct"/>
          </w:tcPr>
          <w:p w14:paraId="1D08036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根据各投标人提供的维保服务期时间承诺情况进行评分，满足招标文件要求的不得分，在不增加费用的情况下，每增加一年加1分。</w:t>
            </w:r>
          </w:p>
        </w:tc>
      </w:tr>
      <w:tr w14:paraId="497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64D720C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维保服务承诺情况（若有）</w:t>
            </w:r>
          </w:p>
        </w:tc>
        <w:tc>
          <w:tcPr>
            <w:tcW w:w="855" w:type="pct"/>
          </w:tcPr>
          <w:p w14:paraId="58F2B8C9">
            <w:pPr>
              <w:spacing w:line="360" w:lineRule="auto"/>
              <w:jc w:val="left"/>
              <w:rPr>
                <w:rFonts w:ascii="仿宋_GB2312" w:hAnsi="宋体" w:eastAsia="仿宋_GB2312"/>
                <w:bCs/>
                <w:color w:val="FF0000"/>
                <w:sz w:val="24"/>
              </w:rPr>
            </w:pPr>
          </w:p>
        </w:tc>
        <w:tc>
          <w:tcPr>
            <w:tcW w:w="3390" w:type="pct"/>
          </w:tcPr>
          <w:p w14:paraId="58971C2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DBBF79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维保服务方案，包括以下1.维修团队人员名单、分工职责；2.维修响应时间；3.维修方式；4.备品备件；5.维保期后维修服务的项目；6.维保期后需要付费服务项目报价情况共六项要点情况并展开描述。由评标委员会进行评议,在方案内容与要点相符、内容详实、各要点内容之间关联性强，逻辑清晰合理，且按现有客观实际情况和项目特征可以有效实施的且对采购人实用的前提下，方案要点齐全的得2分，方案要点满足5项的得1.5分，方案要点满足4项的得1分，其他情况或未提供采购方案的不得分。</w:t>
            </w:r>
          </w:p>
          <w:p w14:paraId="6DC2392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维保服务方案，包括以下1.维修团队人员名单、分工职责；2.维修响应时间；3.维修方式；4.备品备件；5.维保期后维修服务的项目；6.维保期后需要付费服务项目报价情况共六项要点情况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5EE4EC9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r w14:paraId="1C6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69429D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培训方案（若有）</w:t>
            </w:r>
          </w:p>
        </w:tc>
        <w:tc>
          <w:tcPr>
            <w:tcW w:w="855" w:type="pct"/>
          </w:tcPr>
          <w:p w14:paraId="63F245CA">
            <w:pPr>
              <w:spacing w:line="360" w:lineRule="auto"/>
              <w:jc w:val="left"/>
              <w:rPr>
                <w:rFonts w:ascii="仿宋_GB2312" w:hAnsi="宋体" w:eastAsia="仿宋_GB2312"/>
                <w:bCs/>
                <w:color w:val="FF0000"/>
                <w:sz w:val="24"/>
              </w:rPr>
            </w:pPr>
          </w:p>
        </w:tc>
        <w:tc>
          <w:tcPr>
            <w:tcW w:w="3390" w:type="pct"/>
          </w:tcPr>
          <w:p w14:paraId="632E47C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32580D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在方案内容与要点相符、内容详实、各要点内容之间关联性强，逻辑清晰合理，且按现有客观实际情况和项目特征可以有效实施的且对采购人实用的前提下，方案要点齐全的得1分，方案要点仅缺一项的得0.5分，其他情况或未提供采购方案的不得分。</w:t>
            </w:r>
          </w:p>
          <w:p w14:paraId="032E10A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3B045C1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3556470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bl>
    <w:p w14:paraId="426011CB">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6544F148">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注：定稿采购方案请以命名为“日期+第几稿+项目名称简写+采购方案”的电子文档发送至fjjyzbzx@fjcpc.edu.cn。</w:t>
      </w:r>
    </w:p>
    <w:p w14:paraId="2ACD85F4">
      <w:pPr>
        <w:spacing w:line="360" w:lineRule="auto"/>
        <w:jc w:val="left"/>
        <w:rPr>
          <w:rFonts w:ascii="仿宋_GB2312" w:hAnsi="宋体" w:eastAsia="仿宋_GB2312"/>
          <w:bCs/>
          <w:color w:val="FF0000"/>
          <w:sz w:val="24"/>
        </w:rPr>
      </w:pPr>
    </w:p>
    <w:p w14:paraId="36C500B1">
      <w:pPr>
        <w:spacing w:line="360" w:lineRule="auto"/>
        <w:ind w:firstLine="5640" w:firstLineChars="2350"/>
        <w:jc w:val="left"/>
        <w:rPr>
          <w:rFonts w:ascii="仿宋_GB2312" w:hAnsi="宋体" w:eastAsia="仿宋_GB2312"/>
          <w:bCs/>
          <w:sz w:val="24"/>
        </w:rPr>
      </w:pPr>
    </w:p>
    <w:p w14:paraId="0990A791">
      <w:pPr>
        <w:spacing w:line="360" w:lineRule="auto"/>
        <w:ind w:firstLine="5640" w:firstLineChars="2350"/>
        <w:jc w:val="left"/>
        <w:rPr>
          <w:rFonts w:ascii="仿宋_GB2312" w:hAnsi="宋体" w:eastAsia="仿宋_GB2312"/>
          <w:bCs/>
          <w:sz w:val="24"/>
        </w:rPr>
      </w:pPr>
    </w:p>
    <w:p w14:paraId="7C7967ED">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F9CC5DB">
      <w:pPr>
        <w:spacing w:line="360" w:lineRule="auto"/>
        <w:ind w:firstLine="3840" w:firstLineChars="1600"/>
        <w:jc w:val="left"/>
        <w:rPr>
          <w:rFonts w:ascii="仿宋_GB2312" w:hAnsi="宋体" w:eastAsia="仿宋_GB2312"/>
          <w:bCs/>
          <w:sz w:val="24"/>
        </w:rPr>
      </w:pPr>
      <w:r>
        <w:rPr>
          <w:rFonts w:hint="eastAsia" w:ascii="仿宋_GB2312" w:hAnsi="宋体" w:eastAsia="仿宋_GB2312"/>
          <w:bCs/>
          <w:sz w:val="24"/>
        </w:rPr>
        <w:t>申报部门（盖章）：</w:t>
      </w:r>
    </w:p>
    <w:p w14:paraId="5A566346">
      <w:pPr>
        <w:spacing w:line="360" w:lineRule="auto"/>
        <w:ind w:firstLine="6120" w:firstLineChars="2550"/>
        <w:jc w:val="left"/>
        <w:rPr>
          <w:rFonts w:ascii="仿宋_GB2312" w:eastAsia="仿宋_GB2312"/>
          <w:bCs/>
          <w:sz w:val="24"/>
        </w:rPr>
      </w:pPr>
      <w:r>
        <w:rPr>
          <w:rFonts w:hint="eastAsia" w:ascii="仿宋_GB2312" w:hAnsi="宋体" w:eastAsia="仿宋_GB2312"/>
          <w:bCs/>
          <w:sz w:val="24"/>
        </w:rPr>
        <w:t>年  月  日</w:t>
      </w:r>
    </w:p>
    <w:p w14:paraId="6B026FD3"/>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985376"/>
    </w:sdtPr>
    <w:sdtContent>
      <w:p w14:paraId="4DEE3D47">
        <w:pPr>
          <w:pStyle w:val="3"/>
          <w:jc w:val="center"/>
        </w:pPr>
        <w:r>
          <w:fldChar w:fldCharType="begin"/>
        </w:r>
        <w:r>
          <w:instrText xml:space="preserve">PAGE   \* MERGEFORMAT</w:instrText>
        </w:r>
        <w:r>
          <w:fldChar w:fldCharType="separate"/>
        </w:r>
        <w:r>
          <w:rPr>
            <w:lang w:val="zh-CN"/>
          </w:rPr>
          <w:t>4</w:t>
        </w:r>
        <w:r>
          <w:fldChar w:fldCharType="end"/>
        </w:r>
      </w:p>
    </w:sdtContent>
  </w:sdt>
  <w:p w14:paraId="4FE2C4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407aad71-40c5-493a-aefe-cb6c65968e22"/>
  </w:docVars>
  <w:rsids>
    <w:rsidRoot w:val="00EF6FC8"/>
    <w:rsid w:val="00007295"/>
    <w:rsid w:val="00015A0A"/>
    <w:rsid w:val="00051C2F"/>
    <w:rsid w:val="00083A5E"/>
    <w:rsid w:val="00087909"/>
    <w:rsid w:val="000C7266"/>
    <w:rsid w:val="0014794C"/>
    <w:rsid w:val="00182735"/>
    <w:rsid w:val="00186CAA"/>
    <w:rsid w:val="0019001B"/>
    <w:rsid w:val="00191067"/>
    <w:rsid w:val="00192787"/>
    <w:rsid w:val="001A2C58"/>
    <w:rsid w:val="001C11C6"/>
    <w:rsid w:val="001C303A"/>
    <w:rsid w:val="002020F3"/>
    <w:rsid w:val="002035B0"/>
    <w:rsid w:val="00213A3E"/>
    <w:rsid w:val="002316B0"/>
    <w:rsid w:val="00236F24"/>
    <w:rsid w:val="00243CF1"/>
    <w:rsid w:val="00252C4D"/>
    <w:rsid w:val="00270C61"/>
    <w:rsid w:val="002776B7"/>
    <w:rsid w:val="002B016A"/>
    <w:rsid w:val="002C06B1"/>
    <w:rsid w:val="002C2AF0"/>
    <w:rsid w:val="002D1252"/>
    <w:rsid w:val="002D6A35"/>
    <w:rsid w:val="002E38A4"/>
    <w:rsid w:val="002E791C"/>
    <w:rsid w:val="002F5D73"/>
    <w:rsid w:val="003005FC"/>
    <w:rsid w:val="003103CE"/>
    <w:rsid w:val="00321E3C"/>
    <w:rsid w:val="00321F98"/>
    <w:rsid w:val="003242D8"/>
    <w:rsid w:val="003311B9"/>
    <w:rsid w:val="00334FF2"/>
    <w:rsid w:val="003444F3"/>
    <w:rsid w:val="00345F8F"/>
    <w:rsid w:val="003752DD"/>
    <w:rsid w:val="00384D0C"/>
    <w:rsid w:val="00384EAE"/>
    <w:rsid w:val="00392106"/>
    <w:rsid w:val="00397AF4"/>
    <w:rsid w:val="003B3FA7"/>
    <w:rsid w:val="003B515D"/>
    <w:rsid w:val="003C2205"/>
    <w:rsid w:val="003C4919"/>
    <w:rsid w:val="003D60A3"/>
    <w:rsid w:val="003E1A79"/>
    <w:rsid w:val="0040595F"/>
    <w:rsid w:val="004068B1"/>
    <w:rsid w:val="00430592"/>
    <w:rsid w:val="004358D5"/>
    <w:rsid w:val="004642A5"/>
    <w:rsid w:val="004854A4"/>
    <w:rsid w:val="00487CBE"/>
    <w:rsid w:val="004D3AD0"/>
    <w:rsid w:val="004F66A8"/>
    <w:rsid w:val="00510FCC"/>
    <w:rsid w:val="0051628A"/>
    <w:rsid w:val="005165EC"/>
    <w:rsid w:val="005370BC"/>
    <w:rsid w:val="005B69CD"/>
    <w:rsid w:val="005C3FC3"/>
    <w:rsid w:val="005C6315"/>
    <w:rsid w:val="005D3A59"/>
    <w:rsid w:val="005F152B"/>
    <w:rsid w:val="00635213"/>
    <w:rsid w:val="00660F2B"/>
    <w:rsid w:val="006636CD"/>
    <w:rsid w:val="00663851"/>
    <w:rsid w:val="006770C2"/>
    <w:rsid w:val="006803C8"/>
    <w:rsid w:val="00686E8B"/>
    <w:rsid w:val="006A7C82"/>
    <w:rsid w:val="006D0D50"/>
    <w:rsid w:val="006D3F92"/>
    <w:rsid w:val="006D6844"/>
    <w:rsid w:val="006E390A"/>
    <w:rsid w:val="00712B6E"/>
    <w:rsid w:val="00724815"/>
    <w:rsid w:val="007261D7"/>
    <w:rsid w:val="00726689"/>
    <w:rsid w:val="00734E11"/>
    <w:rsid w:val="00741A95"/>
    <w:rsid w:val="00761DCB"/>
    <w:rsid w:val="00790416"/>
    <w:rsid w:val="0079631C"/>
    <w:rsid w:val="007B3E82"/>
    <w:rsid w:val="007C5765"/>
    <w:rsid w:val="007D0E37"/>
    <w:rsid w:val="007D21C9"/>
    <w:rsid w:val="007D2200"/>
    <w:rsid w:val="007D2AC9"/>
    <w:rsid w:val="007E5293"/>
    <w:rsid w:val="007F76FB"/>
    <w:rsid w:val="007F785D"/>
    <w:rsid w:val="00805023"/>
    <w:rsid w:val="00814C5E"/>
    <w:rsid w:val="008418B3"/>
    <w:rsid w:val="00880409"/>
    <w:rsid w:val="00893ABC"/>
    <w:rsid w:val="008A70DC"/>
    <w:rsid w:val="008B1362"/>
    <w:rsid w:val="008D3ABD"/>
    <w:rsid w:val="008E2BCE"/>
    <w:rsid w:val="008E7A6A"/>
    <w:rsid w:val="00901455"/>
    <w:rsid w:val="009015C8"/>
    <w:rsid w:val="009033D5"/>
    <w:rsid w:val="00903B4F"/>
    <w:rsid w:val="00965193"/>
    <w:rsid w:val="0099165A"/>
    <w:rsid w:val="009A28ED"/>
    <w:rsid w:val="009C1919"/>
    <w:rsid w:val="009C38AE"/>
    <w:rsid w:val="009C773E"/>
    <w:rsid w:val="009D136E"/>
    <w:rsid w:val="009D27CB"/>
    <w:rsid w:val="00A03380"/>
    <w:rsid w:val="00A05787"/>
    <w:rsid w:val="00A20FC5"/>
    <w:rsid w:val="00A37CE6"/>
    <w:rsid w:val="00A37E36"/>
    <w:rsid w:val="00A6580B"/>
    <w:rsid w:val="00A77E4C"/>
    <w:rsid w:val="00AC03DF"/>
    <w:rsid w:val="00AC51E6"/>
    <w:rsid w:val="00AE416E"/>
    <w:rsid w:val="00AF1D7E"/>
    <w:rsid w:val="00B143CA"/>
    <w:rsid w:val="00B7465E"/>
    <w:rsid w:val="00BB7225"/>
    <w:rsid w:val="00BE009A"/>
    <w:rsid w:val="00BF1924"/>
    <w:rsid w:val="00BF406D"/>
    <w:rsid w:val="00C06F79"/>
    <w:rsid w:val="00C07A50"/>
    <w:rsid w:val="00C10BDA"/>
    <w:rsid w:val="00C341AA"/>
    <w:rsid w:val="00C41D8E"/>
    <w:rsid w:val="00C4204A"/>
    <w:rsid w:val="00C43861"/>
    <w:rsid w:val="00C438A4"/>
    <w:rsid w:val="00C80F1A"/>
    <w:rsid w:val="00C936DC"/>
    <w:rsid w:val="00C947C3"/>
    <w:rsid w:val="00C9617B"/>
    <w:rsid w:val="00CD2697"/>
    <w:rsid w:val="00CF1A2D"/>
    <w:rsid w:val="00D40F71"/>
    <w:rsid w:val="00DB354F"/>
    <w:rsid w:val="00DB6300"/>
    <w:rsid w:val="00DC4FDB"/>
    <w:rsid w:val="00DD2B13"/>
    <w:rsid w:val="00E16271"/>
    <w:rsid w:val="00E40646"/>
    <w:rsid w:val="00E57586"/>
    <w:rsid w:val="00E739A3"/>
    <w:rsid w:val="00E92B27"/>
    <w:rsid w:val="00E94004"/>
    <w:rsid w:val="00EA6648"/>
    <w:rsid w:val="00EE5B31"/>
    <w:rsid w:val="00EF277E"/>
    <w:rsid w:val="00EF302E"/>
    <w:rsid w:val="00EF6FC8"/>
    <w:rsid w:val="00F000B6"/>
    <w:rsid w:val="00F0436D"/>
    <w:rsid w:val="00F209C4"/>
    <w:rsid w:val="00F241F7"/>
    <w:rsid w:val="00F429DF"/>
    <w:rsid w:val="00F466E8"/>
    <w:rsid w:val="00F7050A"/>
    <w:rsid w:val="00F714D1"/>
    <w:rsid w:val="00FB396D"/>
    <w:rsid w:val="00FC4E6D"/>
    <w:rsid w:val="00FD071F"/>
    <w:rsid w:val="00FE75E6"/>
    <w:rsid w:val="00FF4EBF"/>
    <w:rsid w:val="07A72EEE"/>
    <w:rsid w:val="09BD444D"/>
    <w:rsid w:val="14A62959"/>
    <w:rsid w:val="16642F40"/>
    <w:rsid w:val="16E86EC4"/>
    <w:rsid w:val="1781284F"/>
    <w:rsid w:val="1D8E3BF5"/>
    <w:rsid w:val="1EDB7DE1"/>
    <w:rsid w:val="22EF3493"/>
    <w:rsid w:val="235D48AB"/>
    <w:rsid w:val="25E727A7"/>
    <w:rsid w:val="29A17565"/>
    <w:rsid w:val="2DC313BE"/>
    <w:rsid w:val="329C40EA"/>
    <w:rsid w:val="34195458"/>
    <w:rsid w:val="370C5A8E"/>
    <w:rsid w:val="38E46458"/>
    <w:rsid w:val="41A773E6"/>
    <w:rsid w:val="42021BAB"/>
    <w:rsid w:val="473B20EF"/>
    <w:rsid w:val="47BE6D02"/>
    <w:rsid w:val="4E7B0E5C"/>
    <w:rsid w:val="5475068F"/>
    <w:rsid w:val="58465916"/>
    <w:rsid w:val="58BF1638"/>
    <w:rsid w:val="5A365133"/>
    <w:rsid w:val="606F5EBA"/>
    <w:rsid w:val="63CC2505"/>
    <w:rsid w:val="65642458"/>
    <w:rsid w:val="6CA51F31"/>
    <w:rsid w:val="6DF65083"/>
    <w:rsid w:val="6E3E4936"/>
    <w:rsid w:val="722B1BF0"/>
    <w:rsid w:val="723D1156"/>
    <w:rsid w:val="78766A16"/>
    <w:rsid w:val="7B2B2B3B"/>
    <w:rsid w:val="7F3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_Style 2"/>
    <w:basedOn w:val="1"/>
    <w:qFormat/>
    <w:uiPriority w:val="0"/>
    <w:pPr>
      <w:ind w:firstLine="420" w:firstLineChars="200"/>
    </w:pPr>
    <w:rPr>
      <w:rFonts w:ascii="Calibri" w:hAnsi="Calibri"/>
      <w:szCs w:val="22"/>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1692</Words>
  <Characters>1777</Characters>
  <Lines>49</Lines>
  <Paragraphs>13</Paragraphs>
  <TotalTime>6</TotalTime>
  <ScaleCrop>false</ScaleCrop>
  <LinksUpToDate>false</LinksUpToDate>
  <CharactersWithSpaces>1831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2016-11-10T06:44:00Z</dcterms:created>
  <dc:creator>lenovo</dc:creator>
  <cp:lastModifiedBy>e</cp:lastModifiedBy>
  <dcterms:modified xsi:type="dcterms:W3CDTF">2026-04-14T09:08:46Z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A2F8832FFB3E4C49854136B107B4A0C0</vt:lpwstr>
  </property>
  <property fmtid="{D5CDD505-2E9C-101B-9397-08002B2CF9AE}" pid="4" name="KSOTemplateDocerSaveRecord">
    <vt:lpwstr>eyJoZGlkIjoiNWY4YWU2ODNiNzFiODQyMTM0ZjYwODgyM2JiMDJjMTgiLCJ1c2VySWQiOiIxNTM2MTc0MDQzIn0=</vt:lpwstr>
  </property>
</Properties>
</file>