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B97" w:rsidRPr="00967E19" w:rsidRDefault="009D0B97" w:rsidP="009D0B97">
      <w:pPr>
        <w:spacing w:line="360" w:lineRule="auto"/>
        <w:jc w:val="center"/>
        <w:rPr>
          <w:rFonts w:ascii="仿宋_GB2312" w:eastAsia="仿宋_GB2312"/>
          <w:b/>
          <w:bCs/>
          <w:sz w:val="24"/>
        </w:rPr>
      </w:pPr>
      <w:r w:rsidRPr="00967E19">
        <w:rPr>
          <w:rFonts w:ascii="仿宋_GB2312" w:eastAsia="仿宋_GB2312" w:hAnsi="宋体" w:hint="eastAsia"/>
          <w:b/>
          <w:bCs/>
          <w:sz w:val="24"/>
          <w:u w:val="single"/>
        </w:rPr>
        <w:t xml:space="preserve">            </w:t>
      </w:r>
      <w:r w:rsidRPr="00967E19">
        <w:rPr>
          <w:rFonts w:ascii="仿宋_GB2312" w:eastAsia="仿宋_GB2312" w:hAnsi="宋体" w:hint="eastAsia"/>
          <w:b/>
          <w:bCs/>
          <w:sz w:val="24"/>
        </w:rPr>
        <w:t>项目采购方案（服务类）</w:t>
      </w:r>
    </w:p>
    <w:p w:rsidR="009D0B97" w:rsidRPr="00967E19" w:rsidRDefault="009D0B97" w:rsidP="009D0B97">
      <w:pPr>
        <w:spacing w:line="360" w:lineRule="auto"/>
        <w:jc w:val="left"/>
        <w:rPr>
          <w:rFonts w:ascii="仿宋_GB2312" w:eastAsia="仿宋_GB2312"/>
          <w:bCs/>
          <w:sz w:val="24"/>
        </w:rPr>
      </w:pPr>
      <w:r w:rsidRPr="00967E19">
        <w:rPr>
          <w:rFonts w:ascii="仿宋_GB2312" w:eastAsia="仿宋_GB2312" w:hAnsi="宋体" w:hint="eastAsia"/>
          <w:bCs/>
          <w:sz w:val="24"/>
        </w:rPr>
        <w:t>1.招标服务一览表</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941"/>
        <w:gridCol w:w="3549"/>
        <w:gridCol w:w="1276"/>
        <w:gridCol w:w="1790"/>
      </w:tblGrid>
      <w:tr w:rsidR="009D0B97" w:rsidRPr="00967E19" w:rsidTr="00401A3F">
        <w:trPr>
          <w:trHeight w:val="435"/>
          <w:jc w:val="center"/>
        </w:trPr>
        <w:tc>
          <w:tcPr>
            <w:tcW w:w="1044" w:type="dxa"/>
            <w:vAlign w:val="center"/>
          </w:tcPr>
          <w:p w:rsidR="009D0B97" w:rsidRPr="00967E19" w:rsidRDefault="009D0B97"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941" w:type="dxa"/>
            <w:vAlign w:val="center"/>
          </w:tcPr>
          <w:p w:rsidR="009D0B97" w:rsidRPr="00967E19" w:rsidRDefault="009D0B97"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品目号</w:t>
            </w:r>
          </w:p>
        </w:tc>
        <w:tc>
          <w:tcPr>
            <w:tcW w:w="3549" w:type="dxa"/>
            <w:vAlign w:val="center"/>
          </w:tcPr>
          <w:p w:rsidR="009D0B97" w:rsidRPr="00967E19" w:rsidRDefault="009D0B97"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采购服务项目名称</w:t>
            </w:r>
          </w:p>
        </w:tc>
        <w:tc>
          <w:tcPr>
            <w:tcW w:w="1276" w:type="dxa"/>
            <w:vAlign w:val="center"/>
          </w:tcPr>
          <w:p w:rsidR="009D0B97" w:rsidRPr="00967E19" w:rsidRDefault="009D0B97"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服务期限</w:t>
            </w:r>
          </w:p>
        </w:tc>
        <w:tc>
          <w:tcPr>
            <w:tcW w:w="1790" w:type="dxa"/>
            <w:vAlign w:val="center"/>
          </w:tcPr>
          <w:p w:rsidR="009D0B97" w:rsidRPr="00967E19" w:rsidRDefault="009D0B97"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预算金额（元）</w:t>
            </w:r>
          </w:p>
        </w:tc>
      </w:tr>
      <w:tr w:rsidR="009D0B97" w:rsidRPr="00967E19" w:rsidTr="00401A3F">
        <w:trPr>
          <w:trHeight w:val="285"/>
          <w:jc w:val="center"/>
        </w:trPr>
        <w:tc>
          <w:tcPr>
            <w:tcW w:w="1044" w:type="dxa"/>
            <w:vMerge w:val="restart"/>
            <w:vAlign w:val="center"/>
          </w:tcPr>
          <w:p w:rsidR="009D0B97" w:rsidRPr="00967E19" w:rsidRDefault="009D0B97" w:rsidP="00401A3F">
            <w:pPr>
              <w:spacing w:line="400" w:lineRule="exact"/>
              <w:jc w:val="center"/>
              <w:rPr>
                <w:rFonts w:ascii="仿宋_GB2312" w:eastAsia="仿宋_GB2312" w:hAnsi="宋体" w:cs="宋体"/>
                <w:bCs/>
                <w:color w:val="000000"/>
                <w:kern w:val="0"/>
                <w:sz w:val="24"/>
              </w:rPr>
            </w:pPr>
            <w:r w:rsidRPr="00967E19">
              <w:rPr>
                <w:rFonts w:ascii="仿宋_GB2312" w:eastAsia="仿宋_GB2312" w:hAnsi="宋体" w:cs="宋体" w:hint="eastAsia"/>
                <w:bCs/>
                <w:color w:val="000000"/>
                <w:kern w:val="0"/>
                <w:sz w:val="24"/>
              </w:rPr>
              <w:t>1</w:t>
            </w:r>
          </w:p>
        </w:tc>
        <w:tc>
          <w:tcPr>
            <w:tcW w:w="941" w:type="dxa"/>
            <w:shd w:val="clear" w:color="auto" w:fill="FFFFFF"/>
            <w:vAlign w:val="center"/>
          </w:tcPr>
          <w:p w:rsidR="009D0B97" w:rsidRPr="00967E19" w:rsidRDefault="009D0B97" w:rsidP="00401A3F">
            <w:pPr>
              <w:widowControl/>
              <w:jc w:val="center"/>
              <w:rPr>
                <w:rFonts w:ascii="仿宋_GB2312" w:eastAsia="仿宋_GB2312" w:cs="宋体"/>
                <w:color w:val="000000"/>
                <w:sz w:val="24"/>
              </w:rPr>
            </w:pPr>
            <w:r w:rsidRPr="00967E19">
              <w:rPr>
                <w:rFonts w:ascii="仿宋_GB2312" w:eastAsia="仿宋_GB2312" w:hAnsi="宋体" w:cs="宋体" w:hint="eastAsia"/>
                <w:color w:val="000000"/>
                <w:kern w:val="0"/>
                <w:sz w:val="24"/>
              </w:rPr>
              <w:t>1</w:t>
            </w:r>
          </w:p>
        </w:tc>
        <w:tc>
          <w:tcPr>
            <w:tcW w:w="3549" w:type="dxa"/>
            <w:shd w:val="clear" w:color="auto" w:fill="FFFFFF"/>
            <w:vAlign w:val="center"/>
          </w:tcPr>
          <w:p w:rsidR="009D0B97" w:rsidRPr="00967E19" w:rsidRDefault="009D0B97" w:rsidP="00401A3F">
            <w:pPr>
              <w:widowControl/>
              <w:spacing w:line="400" w:lineRule="exact"/>
              <w:jc w:val="center"/>
              <w:rPr>
                <w:rFonts w:ascii="仿宋_GB2312" w:eastAsia="仿宋_GB2312" w:cs="宋体"/>
                <w:color w:val="000000"/>
                <w:kern w:val="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r w:rsidR="009D0B97" w:rsidRPr="00967E19" w:rsidTr="00401A3F">
        <w:trPr>
          <w:trHeight w:val="291"/>
          <w:jc w:val="center"/>
        </w:trPr>
        <w:tc>
          <w:tcPr>
            <w:tcW w:w="1044" w:type="dxa"/>
            <w:vMerge/>
            <w:vAlign w:val="center"/>
          </w:tcPr>
          <w:p w:rsidR="009D0B97" w:rsidRPr="00967E19" w:rsidRDefault="009D0B97" w:rsidP="00401A3F">
            <w:pPr>
              <w:spacing w:line="400" w:lineRule="exact"/>
              <w:jc w:val="center"/>
              <w:rPr>
                <w:rFonts w:ascii="仿宋_GB2312" w:eastAsia="仿宋_GB2312" w:cs="宋体"/>
                <w:bCs/>
                <w:color w:val="000000"/>
                <w:kern w:val="0"/>
                <w:sz w:val="24"/>
              </w:rPr>
            </w:pPr>
          </w:p>
        </w:tc>
        <w:tc>
          <w:tcPr>
            <w:tcW w:w="941" w:type="dxa"/>
            <w:shd w:val="clear" w:color="auto" w:fill="FFFFFF"/>
            <w:vAlign w:val="center"/>
          </w:tcPr>
          <w:p w:rsidR="009D0B97" w:rsidRPr="00967E19" w:rsidRDefault="009D0B97" w:rsidP="00401A3F">
            <w:pPr>
              <w:widowControl/>
              <w:jc w:val="center"/>
              <w:rPr>
                <w:rFonts w:ascii="仿宋_GB2312" w:eastAsia="仿宋_GB2312" w:cs="宋体"/>
                <w:color w:val="000000"/>
                <w:sz w:val="24"/>
              </w:rPr>
            </w:pPr>
            <w:r w:rsidRPr="00967E19">
              <w:rPr>
                <w:rFonts w:ascii="仿宋_GB2312" w:eastAsia="仿宋_GB2312" w:hAnsi="宋体" w:cs="宋体" w:hint="eastAsia"/>
                <w:color w:val="000000"/>
                <w:kern w:val="0"/>
                <w:sz w:val="24"/>
              </w:rPr>
              <w:t>2</w:t>
            </w:r>
          </w:p>
        </w:tc>
        <w:tc>
          <w:tcPr>
            <w:tcW w:w="3549" w:type="dxa"/>
            <w:shd w:val="clear" w:color="auto" w:fill="FFFFFF"/>
            <w:vAlign w:val="center"/>
          </w:tcPr>
          <w:p w:rsidR="009D0B97" w:rsidRPr="00967E19" w:rsidRDefault="009D0B97" w:rsidP="00401A3F">
            <w:pPr>
              <w:spacing w:line="400" w:lineRule="exact"/>
              <w:jc w:val="center"/>
              <w:rPr>
                <w:rFonts w:ascii="仿宋_GB2312" w:eastAsia="仿宋_GB2312" w:cs="宋体"/>
                <w:color w:val="00000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r w:rsidR="009D0B97" w:rsidRPr="00967E19" w:rsidTr="00401A3F">
        <w:trPr>
          <w:trHeight w:val="310"/>
          <w:jc w:val="center"/>
        </w:trPr>
        <w:tc>
          <w:tcPr>
            <w:tcW w:w="1044" w:type="dxa"/>
            <w:vMerge/>
            <w:vAlign w:val="center"/>
          </w:tcPr>
          <w:p w:rsidR="009D0B97" w:rsidRPr="00967E19" w:rsidRDefault="009D0B97" w:rsidP="00401A3F">
            <w:pPr>
              <w:spacing w:line="400" w:lineRule="exact"/>
              <w:jc w:val="center"/>
              <w:rPr>
                <w:rFonts w:ascii="仿宋_GB2312" w:eastAsia="仿宋_GB2312" w:cs="宋体"/>
                <w:bCs/>
                <w:color w:val="000000"/>
                <w:kern w:val="0"/>
                <w:sz w:val="24"/>
              </w:rPr>
            </w:pPr>
          </w:p>
        </w:tc>
        <w:tc>
          <w:tcPr>
            <w:tcW w:w="941" w:type="dxa"/>
            <w:shd w:val="clear" w:color="auto" w:fill="FFFFFF"/>
            <w:vAlign w:val="center"/>
          </w:tcPr>
          <w:p w:rsidR="009D0B97" w:rsidRPr="00967E19" w:rsidRDefault="009D0B97"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3549" w:type="dxa"/>
            <w:shd w:val="clear" w:color="auto" w:fill="FFFFFF"/>
            <w:vAlign w:val="center"/>
          </w:tcPr>
          <w:p w:rsidR="009D0B97" w:rsidRPr="00967E19" w:rsidRDefault="009D0B97" w:rsidP="00401A3F">
            <w:pPr>
              <w:widowControl/>
              <w:spacing w:line="400" w:lineRule="exact"/>
              <w:jc w:val="center"/>
              <w:rPr>
                <w:rFonts w:ascii="仿宋_GB2312" w:eastAsia="仿宋_GB2312" w:cs="宋体"/>
                <w:color w:val="000000"/>
                <w:sz w:val="24"/>
              </w:rPr>
            </w:pPr>
          </w:p>
        </w:tc>
        <w:tc>
          <w:tcPr>
            <w:tcW w:w="1276"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c>
          <w:tcPr>
            <w:tcW w:w="1790" w:type="dxa"/>
            <w:shd w:val="clear" w:color="auto" w:fill="FFFFFF"/>
            <w:vAlign w:val="center"/>
          </w:tcPr>
          <w:p w:rsidR="009D0B97" w:rsidRPr="00967E19" w:rsidRDefault="009D0B97" w:rsidP="00401A3F">
            <w:pPr>
              <w:widowControl/>
              <w:spacing w:line="400" w:lineRule="exact"/>
              <w:jc w:val="center"/>
              <w:rPr>
                <w:rFonts w:ascii="仿宋_GB2312" w:eastAsia="仿宋_GB2312" w:cs="宋体"/>
                <w:b/>
                <w:color w:val="000000"/>
                <w:sz w:val="24"/>
              </w:rPr>
            </w:pPr>
          </w:p>
        </w:tc>
      </w:tr>
    </w:tbl>
    <w:p w:rsidR="009D0B97" w:rsidRPr="00967E19" w:rsidRDefault="009D0B97" w:rsidP="009D0B97">
      <w:pPr>
        <w:spacing w:line="360" w:lineRule="auto"/>
        <w:jc w:val="left"/>
        <w:rPr>
          <w:rFonts w:ascii="仿宋_GB2312" w:eastAsia="仿宋_GB2312"/>
          <w:bCs/>
          <w:sz w:val="24"/>
        </w:rPr>
      </w:pPr>
      <w:r w:rsidRPr="00967E19">
        <w:rPr>
          <w:rFonts w:ascii="仿宋_GB2312" w:eastAsia="仿宋_GB2312" w:hint="eastAsia"/>
          <w:bCs/>
          <w:sz w:val="24"/>
        </w:rPr>
        <w:t>2.</w:t>
      </w:r>
      <w:r w:rsidRPr="00967E19">
        <w:rPr>
          <w:rFonts w:ascii="仿宋_GB2312" w:eastAsia="仿宋_GB2312" w:hAnsi="宋体" w:hint="eastAsia"/>
          <w:bCs/>
          <w:sz w:val="24"/>
        </w:rPr>
        <w:t>服务期限和地点</w:t>
      </w:r>
    </w:p>
    <w:p w:rsidR="009D0B97" w:rsidRPr="00967E19" w:rsidRDefault="009D0B97" w:rsidP="009D0B97">
      <w:pPr>
        <w:spacing w:line="360" w:lineRule="auto"/>
        <w:jc w:val="left"/>
        <w:rPr>
          <w:rFonts w:ascii="仿宋_GB2312" w:eastAsia="仿宋_GB2312" w:hAnsi="宋体"/>
          <w:bCs/>
          <w:sz w:val="24"/>
        </w:rPr>
      </w:pPr>
      <w:r w:rsidRPr="00967E19">
        <w:rPr>
          <w:rFonts w:ascii="仿宋_GB2312" w:eastAsia="仿宋_GB2312" w:hAnsi="宋体" w:cs="宋体" w:hint="eastAsia"/>
          <w:bCs/>
          <w:color w:val="000000"/>
          <w:kern w:val="0"/>
          <w:sz w:val="24"/>
        </w:rPr>
        <w:t>（1）服务期：</w:t>
      </w:r>
      <w:r w:rsidRPr="00967E19">
        <w:rPr>
          <w:rFonts w:ascii="仿宋_GB2312" w:eastAsia="仿宋_GB2312" w:hAnsi="宋体" w:hint="eastAsia"/>
          <w:bCs/>
          <w:sz w:val="24"/>
        </w:rPr>
        <w:t>……</w:t>
      </w:r>
    </w:p>
    <w:p w:rsidR="009D0B97" w:rsidRPr="00967E19" w:rsidRDefault="009D0B97" w:rsidP="009D0B97">
      <w:pPr>
        <w:spacing w:line="360" w:lineRule="auto"/>
        <w:jc w:val="left"/>
        <w:rPr>
          <w:rFonts w:ascii="仿宋_GB2312" w:eastAsia="仿宋_GB2312" w:hAnsi="宋体"/>
          <w:bCs/>
          <w:sz w:val="24"/>
        </w:rPr>
      </w:pPr>
      <w:r w:rsidRPr="00967E19">
        <w:rPr>
          <w:rFonts w:ascii="仿宋_GB2312" w:eastAsia="仿宋_GB2312" w:hAnsi="宋体" w:cs="宋体" w:hint="eastAsia"/>
          <w:bCs/>
          <w:color w:val="000000"/>
          <w:kern w:val="0"/>
          <w:sz w:val="24"/>
        </w:rPr>
        <w:t>（2）服务地点：</w:t>
      </w:r>
      <w:r w:rsidRPr="00967E19">
        <w:rPr>
          <w:rFonts w:ascii="仿宋_GB2312" w:eastAsia="仿宋_GB2312" w:hAnsi="宋体" w:hint="eastAsia"/>
          <w:bCs/>
          <w:sz w:val="24"/>
        </w:rPr>
        <w:t>……</w:t>
      </w:r>
    </w:p>
    <w:p w:rsidR="009D0B97" w:rsidRPr="00967E19" w:rsidRDefault="009D0B97" w:rsidP="009D0B97">
      <w:pPr>
        <w:spacing w:line="360" w:lineRule="auto"/>
        <w:jc w:val="left"/>
        <w:rPr>
          <w:rFonts w:ascii="仿宋_GB2312" w:eastAsia="仿宋_GB2312" w:hAnsi="宋体"/>
          <w:bCs/>
          <w:sz w:val="24"/>
        </w:rPr>
      </w:pPr>
      <w:r w:rsidRPr="00967E19">
        <w:rPr>
          <w:rFonts w:ascii="仿宋_GB2312" w:eastAsia="仿宋_GB2312" w:hAnsi="宋体" w:hint="eastAsia"/>
          <w:bCs/>
          <w:sz w:val="24"/>
        </w:rPr>
        <w:t>3. 服务内容及相关要求</w:t>
      </w:r>
    </w:p>
    <w:p w:rsidR="009D0B97" w:rsidRPr="00967E19" w:rsidRDefault="009D0B97" w:rsidP="009D0B97">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9D0B97" w:rsidP="009D0B97">
      <w:pPr>
        <w:spacing w:line="360" w:lineRule="auto"/>
        <w:jc w:val="left"/>
        <w:rPr>
          <w:rFonts w:ascii="仿宋_GB2312" w:eastAsia="仿宋_GB2312" w:hAnsi="宋体"/>
          <w:bCs/>
          <w:sz w:val="24"/>
        </w:rPr>
      </w:pPr>
      <w:r w:rsidRPr="00967E19">
        <w:rPr>
          <w:rFonts w:ascii="仿宋_GB2312" w:eastAsia="仿宋_GB2312" w:hAnsi="宋体" w:hint="eastAsia"/>
          <w:bCs/>
          <w:sz w:val="24"/>
        </w:rPr>
        <w:t>4.服务资格要求</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9D0B97" w:rsidP="009D0B97">
      <w:pPr>
        <w:spacing w:line="360" w:lineRule="auto"/>
        <w:jc w:val="left"/>
        <w:rPr>
          <w:rFonts w:ascii="仿宋_GB2312" w:eastAsia="仿宋_GB2312" w:hAnsi="宋体"/>
          <w:bCs/>
          <w:sz w:val="24"/>
        </w:rPr>
      </w:pPr>
      <w:r w:rsidRPr="00967E19">
        <w:rPr>
          <w:rFonts w:ascii="仿宋_GB2312" w:eastAsia="仿宋_GB2312" w:hAnsi="宋体" w:hint="eastAsia"/>
          <w:bCs/>
          <w:sz w:val="24"/>
        </w:rPr>
        <w:t>5.违约责任要求</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9D0B97" w:rsidP="009D0B97">
      <w:pPr>
        <w:spacing w:line="360" w:lineRule="auto"/>
        <w:jc w:val="left"/>
        <w:rPr>
          <w:rFonts w:ascii="仿宋_GB2312" w:eastAsia="仿宋_GB2312"/>
          <w:bCs/>
          <w:sz w:val="24"/>
        </w:rPr>
      </w:pPr>
      <w:r w:rsidRPr="00967E19">
        <w:rPr>
          <w:rFonts w:ascii="仿宋_GB2312" w:eastAsia="仿宋_GB2312" w:hint="eastAsia"/>
          <w:bCs/>
          <w:sz w:val="24"/>
        </w:rPr>
        <w:t>6.其他要求（如</w:t>
      </w:r>
      <w:r w:rsidRPr="00967E19">
        <w:rPr>
          <w:rFonts w:ascii="仿宋_GB2312" w:eastAsia="仿宋_GB2312" w:hAnsi="宋体" w:hint="eastAsia"/>
          <w:bCs/>
          <w:sz w:val="24"/>
        </w:rPr>
        <w:t>服务安全责任保障等</w:t>
      </w:r>
      <w:r w:rsidRPr="00967E19">
        <w:rPr>
          <w:rFonts w:ascii="仿宋_GB2312" w:eastAsia="仿宋_GB2312" w:hint="eastAsia"/>
          <w:bCs/>
          <w:sz w:val="24"/>
        </w:rPr>
        <w:t>）</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9D0B97" w:rsidP="009D0B97">
      <w:pPr>
        <w:spacing w:line="360" w:lineRule="auto"/>
        <w:jc w:val="left"/>
        <w:rPr>
          <w:rFonts w:ascii="仿宋_GB2312" w:eastAsia="仿宋_GB2312" w:hAnsi="宋体"/>
          <w:bCs/>
          <w:sz w:val="24"/>
        </w:rPr>
      </w:pPr>
      <w:r w:rsidRPr="00967E19">
        <w:rPr>
          <w:rFonts w:ascii="仿宋_GB2312" w:eastAsia="仿宋_GB2312" w:hAnsi="宋体" w:hint="eastAsia"/>
          <w:bCs/>
          <w:sz w:val="24"/>
        </w:rPr>
        <w:t>7.付款及结算方式要求</w:t>
      </w:r>
    </w:p>
    <w:p w:rsidR="009D0B97" w:rsidRPr="00967E19" w:rsidRDefault="009D0B97" w:rsidP="009D0B97">
      <w:pPr>
        <w:spacing w:line="360" w:lineRule="auto"/>
        <w:ind w:firstLineChars="100" w:firstLine="240"/>
        <w:jc w:val="left"/>
        <w:rPr>
          <w:rFonts w:ascii="仿宋_GB2312" w:eastAsia="仿宋_GB2312" w:hAnsi="宋体"/>
          <w:bCs/>
          <w:sz w:val="24"/>
        </w:rPr>
      </w:pPr>
      <w:r w:rsidRPr="00967E19">
        <w:rPr>
          <w:rFonts w:ascii="仿宋_GB2312" w:eastAsia="仿宋_GB2312" w:hAnsi="宋体" w:hint="eastAsia"/>
          <w:bCs/>
          <w:sz w:val="24"/>
        </w:rPr>
        <w:t>……</w:t>
      </w:r>
    </w:p>
    <w:p w:rsidR="009D0B97" w:rsidRPr="00967E19" w:rsidRDefault="009D0B97" w:rsidP="009D0B97">
      <w:pPr>
        <w:spacing w:line="360" w:lineRule="auto"/>
        <w:jc w:val="left"/>
        <w:rPr>
          <w:rFonts w:ascii="仿宋_GB2312" w:eastAsia="仿宋_GB2312"/>
          <w:sz w:val="24"/>
        </w:rPr>
      </w:pPr>
      <w:r w:rsidRPr="00967E19">
        <w:rPr>
          <w:rFonts w:ascii="仿宋_GB2312" w:eastAsia="仿宋_GB2312" w:hAnsi="宋体" w:hint="eastAsia"/>
          <w:bCs/>
          <w:sz w:val="24"/>
        </w:rPr>
        <w:t>8.</w:t>
      </w:r>
      <w:r w:rsidRPr="00967E19">
        <w:rPr>
          <w:rFonts w:ascii="仿宋_GB2312" w:eastAsia="仿宋_GB2312" w:hint="eastAsia"/>
          <w:sz w:val="24"/>
        </w:rPr>
        <w:t xml:space="preserve"> 履约保证金: </w:t>
      </w:r>
      <w:r w:rsidR="002617FD">
        <w:rPr>
          <w:rFonts w:ascii="仿宋_GB2312" w:eastAsia="仿宋_GB2312" w:hint="eastAsia"/>
          <w:sz w:val="24"/>
        </w:rPr>
        <w:t>在</w:t>
      </w:r>
      <w:r w:rsidR="002617FD">
        <w:rPr>
          <w:rFonts w:ascii="仿宋_GB2312" w:eastAsia="仿宋_GB2312"/>
          <w:sz w:val="24"/>
        </w:rPr>
        <w:t>合同签订前中标人</w:t>
      </w:r>
      <w:r w:rsidR="002617FD">
        <w:rPr>
          <w:rFonts w:ascii="仿宋_GB2312" w:eastAsia="仿宋_GB2312" w:hint="eastAsia"/>
          <w:sz w:val="24"/>
        </w:rPr>
        <w:t>以</w:t>
      </w:r>
      <w:r w:rsidR="002617FD">
        <w:rPr>
          <w:rFonts w:ascii="仿宋_GB2312" w:eastAsia="仿宋_GB2312"/>
          <w:sz w:val="24"/>
        </w:rPr>
        <w:t>银行</w:t>
      </w:r>
      <w:r w:rsidR="002617FD">
        <w:rPr>
          <w:rFonts w:ascii="仿宋_GB2312" w:eastAsia="仿宋_GB2312" w:hint="eastAsia"/>
          <w:sz w:val="24"/>
        </w:rPr>
        <w:t>转账</w:t>
      </w:r>
      <w:r w:rsidR="002617FD">
        <w:rPr>
          <w:rFonts w:ascii="仿宋_GB2312" w:eastAsia="仿宋_GB2312"/>
          <w:sz w:val="24"/>
        </w:rPr>
        <w:t>方式向采购人提交</w:t>
      </w:r>
      <w:r w:rsidRPr="00967E19">
        <w:rPr>
          <w:rFonts w:ascii="仿宋_GB2312" w:eastAsia="仿宋_GB2312" w:hint="eastAsia"/>
          <w:sz w:val="24"/>
        </w:rPr>
        <w:t>中标金额的</w:t>
      </w:r>
      <w:r w:rsidRPr="00967E19">
        <w:rPr>
          <w:rFonts w:ascii="仿宋_GB2312" w:eastAsia="仿宋_GB2312" w:hint="eastAsia"/>
          <w:sz w:val="24"/>
          <w:u w:val="single"/>
        </w:rPr>
        <w:t xml:space="preserve">   </w:t>
      </w:r>
      <w:r w:rsidRPr="00967E19">
        <w:rPr>
          <w:rFonts w:ascii="仿宋_GB2312" w:eastAsia="仿宋_GB2312" w:hint="eastAsia"/>
          <w:sz w:val="24"/>
        </w:rPr>
        <w:t>%（不得超过中标金额的10%）</w:t>
      </w:r>
      <w:r w:rsidR="002617FD">
        <w:rPr>
          <w:rFonts w:ascii="仿宋_GB2312" w:eastAsia="仿宋_GB2312" w:hint="eastAsia"/>
          <w:sz w:val="24"/>
        </w:rPr>
        <w:t>作为</w:t>
      </w:r>
      <w:r w:rsidR="002617FD">
        <w:rPr>
          <w:rFonts w:ascii="仿宋_GB2312" w:eastAsia="仿宋_GB2312"/>
          <w:sz w:val="24"/>
        </w:rPr>
        <w:t>履约保证金</w:t>
      </w:r>
      <w:r w:rsidR="002617FD">
        <w:rPr>
          <w:rFonts w:ascii="仿宋_GB2312" w:eastAsia="仿宋_GB2312" w:hint="eastAsia"/>
          <w:sz w:val="24"/>
        </w:rPr>
        <w:t>，服务</w:t>
      </w:r>
      <w:r w:rsidR="002617FD">
        <w:rPr>
          <w:rFonts w:ascii="仿宋_GB2312" w:eastAsia="仿宋_GB2312"/>
          <w:sz w:val="24"/>
        </w:rPr>
        <w:t>项目开始实施后转为质量保证金，</w:t>
      </w:r>
      <w:r w:rsidR="002617FD">
        <w:rPr>
          <w:rFonts w:ascii="仿宋_GB2312" w:eastAsia="仿宋_GB2312" w:hint="eastAsia"/>
          <w:sz w:val="24"/>
        </w:rPr>
        <w:t>待</w:t>
      </w:r>
      <w:r w:rsidR="002617FD">
        <w:rPr>
          <w:rFonts w:ascii="仿宋_GB2312" w:eastAsia="仿宋_GB2312"/>
          <w:sz w:val="24"/>
        </w:rPr>
        <w:t>中标人完整履行合同</w:t>
      </w:r>
      <w:r w:rsidR="002617FD">
        <w:rPr>
          <w:rFonts w:ascii="仿宋_GB2312" w:eastAsia="仿宋_GB2312" w:hint="eastAsia"/>
          <w:sz w:val="24"/>
        </w:rPr>
        <w:t>，______年/</w:t>
      </w:r>
      <w:r w:rsidR="002617FD" w:rsidRPr="002617FD">
        <w:rPr>
          <w:rFonts w:ascii="仿宋_GB2312" w:eastAsia="仿宋_GB2312"/>
          <w:sz w:val="24"/>
          <w:u w:val="single"/>
        </w:rPr>
        <w:t>合同期满</w:t>
      </w:r>
      <w:r w:rsidR="002617FD">
        <w:rPr>
          <w:rFonts w:ascii="仿宋_GB2312" w:eastAsia="仿宋_GB2312" w:hint="eastAsia"/>
          <w:sz w:val="24"/>
          <w:u w:val="single"/>
        </w:rPr>
        <w:t xml:space="preserve"> </w:t>
      </w:r>
      <w:bookmarkStart w:id="0" w:name="_GoBack"/>
      <w:bookmarkEnd w:id="0"/>
      <w:r w:rsidR="002617FD">
        <w:rPr>
          <w:rFonts w:ascii="仿宋_GB2312" w:eastAsia="仿宋_GB2312"/>
          <w:sz w:val="24"/>
        </w:rPr>
        <w:t>后</w:t>
      </w:r>
      <w:r w:rsidR="002617FD">
        <w:rPr>
          <w:rFonts w:ascii="仿宋_GB2312" w:eastAsia="仿宋_GB2312" w:hint="eastAsia"/>
          <w:sz w:val="24"/>
        </w:rPr>
        <w:t>采购人</w:t>
      </w:r>
      <w:r w:rsidR="002617FD">
        <w:rPr>
          <w:rFonts w:ascii="仿宋_GB2312" w:eastAsia="仿宋_GB2312"/>
          <w:sz w:val="24"/>
        </w:rPr>
        <w:t>无息退还</w:t>
      </w:r>
      <w:r w:rsidRPr="00967E19">
        <w:rPr>
          <w:rFonts w:ascii="仿宋_GB2312" w:eastAsia="仿宋_GB2312" w:hint="eastAsia"/>
          <w:sz w:val="24"/>
        </w:rPr>
        <w:t>。</w:t>
      </w:r>
    </w:p>
    <w:p w:rsidR="009D0B97" w:rsidRPr="00967E19" w:rsidRDefault="009D0B97" w:rsidP="009D0B97">
      <w:pPr>
        <w:spacing w:line="360" w:lineRule="auto"/>
        <w:jc w:val="left"/>
        <w:rPr>
          <w:rFonts w:ascii="仿宋_GB2312" w:eastAsia="仿宋_GB2312"/>
          <w:bCs/>
          <w:sz w:val="24"/>
        </w:rPr>
      </w:pPr>
      <w:r w:rsidRPr="00967E19">
        <w:rPr>
          <w:rFonts w:ascii="仿宋_GB2312" w:eastAsia="仿宋_GB2312" w:hAnsi="宋体" w:hint="eastAsia"/>
          <w:bCs/>
          <w:sz w:val="24"/>
        </w:rPr>
        <w:lastRenderedPageBreak/>
        <w:t>9.评标办法</w:t>
      </w:r>
    </w:p>
    <w:p w:rsidR="009D0B97" w:rsidRPr="00967E19" w:rsidRDefault="009D0B97" w:rsidP="009D0B97">
      <w:pPr>
        <w:spacing w:line="360" w:lineRule="auto"/>
        <w:ind w:firstLineChars="200" w:firstLine="480"/>
        <w:jc w:val="left"/>
        <w:rPr>
          <w:rFonts w:ascii="仿宋_GB2312" w:eastAsia="仿宋_GB2312" w:cs="宋体"/>
          <w:sz w:val="24"/>
        </w:rPr>
      </w:pPr>
      <w:r w:rsidRPr="00967E19">
        <w:rPr>
          <w:rFonts w:ascii="仿宋_GB2312" w:eastAsia="仿宋_GB2312" w:hAnsi="宋体" w:cs="宋体" w:hint="eastAsia"/>
          <w:sz w:val="24"/>
        </w:rPr>
        <w:t>采用综合评分法的项目须提供综合评分因素和标准。</w:t>
      </w:r>
    </w:p>
    <w:p w:rsidR="009D0B97" w:rsidRPr="00967E19" w:rsidRDefault="009D0B97" w:rsidP="009D0B97">
      <w:pPr>
        <w:spacing w:line="360" w:lineRule="auto"/>
        <w:jc w:val="left"/>
        <w:rPr>
          <w:rFonts w:ascii="仿宋_GB2312" w:eastAsia="仿宋_GB2312" w:cs="宋体"/>
          <w:sz w:val="24"/>
        </w:rPr>
      </w:pPr>
      <w:r w:rsidRPr="00967E19">
        <w:rPr>
          <w:rFonts w:ascii="仿宋_GB2312" w:eastAsia="仿宋_GB2312" w:hAnsi="宋体" w:hint="eastAsia"/>
          <w:b/>
          <w:bCs/>
          <w:sz w:val="24"/>
        </w:rPr>
        <w:t>注：评标方法释义</w:t>
      </w:r>
      <w:r>
        <w:rPr>
          <w:rFonts w:ascii="仿宋_GB2312" w:eastAsia="仿宋_GB2312" w:hAnsi="宋体" w:hint="eastAsia"/>
          <w:b/>
          <w:bCs/>
          <w:sz w:val="24"/>
        </w:rPr>
        <w:t>（提交方案时请删除此段）</w:t>
      </w:r>
    </w:p>
    <w:p w:rsidR="009D0B97" w:rsidRPr="00967E19" w:rsidRDefault="009D0B97" w:rsidP="009D0B97">
      <w:pPr>
        <w:spacing w:line="360" w:lineRule="auto"/>
        <w:ind w:firstLineChars="150" w:firstLine="360"/>
        <w:jc w:val="left"/>
        <w:rPr>
          <w:rFonts w:ascii="仿宋_GB2312" w:eastAsia="仿宋_GB2312"/>
          <w:bCs/>
          <w:sz w:val="24"/>
        </w:rPr>
      </w:pPr>
      <w:r w:rsidRPr="00967E19">
        <w:rPr>
          <w:rFonts w:ascii="仿宋_GB2312" w:eastAsia="仿宋_GB2312" w:hAnsi="宋体" w:hint="eastAsia"/>
          <w:bCs/>
          <w:sz w:val="24"/>
        </w:rPr>
        <w:t>（1）最低评标价法：是指以价格为主要因素确定中标候选供应商的评标办法，即在全部满足招标文件实质性要求前提下，依据统一的价格要素评定最低报价，以提出最低报价的投标人作为中标候选供应商或者中标供应商的评标方法。</w:t>
      </w:r>
    </w:p>
    <w:p w:rsidR="009D0B97" w:rsidRPr="00967E19" w:rsidRDefault="009D0B97" w:rsidP="009D0B97">
      <w:pPr>
        <w:spacing w:line="360" w:lineRule="auto"/>
        <w:ind w:firstLineChars="150" w:firstLine="360"/>
        <w:jc w:val="left"/>
        <w:rPr>
          <w:rFonts w:ascii="仿宋_GB2312" w:eastAsia="仿宋_GB2312"/>
          <w:bCs/>
          <w:sz w:val="24"/>
        </w:rPr>
      </w:pPr>
      <w:r w:rsidRPr="00967E19">
        <w:rPr>
          <w:rFonts w:ascii="仿宋_GB2312" w:eastAsia="仿宋_GB2312" w:hAnsi="宋体" w:hint="eastAsia"/>
          <w:bCs/>
          <w:sz w:val="24"/>
        </w:rPr>
        <w:t>（2）综合评分法：是指在最大限度地满足招标文件实质性要求前提下，按照招标文件中规定的各项因素进行综合评审后，以评标总得分最高的投标人作为中标候选供应商或者中标供应商的评标方法。对服务项目，价格因素权重为30%，商务因素权重不得高于25%。</w:t>
      </w:r>
    </w:p>
    <w:p w:rsidR="009D0B97" w:rsidRPr="00967E19" w:rsidRDefault="009D0B97" w:rsidP="009D0B97">
      <w:pPr>
        <w:spacing w:line="360" w:lineRule="auto"/>
        <w:ind w:right="480"/>
        <w:jc w:val="right"/>
        <w:rPr>
          <w:rFonts w:ascii="仿宋_GB2312" w:eastAsia="仿宋_GB2312" w:hAnsi="宋体"/>
          <w:bCs/>
          <w:sz w:val="24"/>
        </w:rPr>
      </w:pPr>
      <w:r w:rsidRPr="00967E19">
        <w:rPr>
          <w:rFonts w:ascii="仿宋_GB2312" w:eastAsia="仿宋_GB2312" w:hAnsi="宋体" w:hint="eastAsia"/>
          <w:bCs/>
          <w:sz w:val="24"/>
        </w:rPr>
        <w:t>申报部门（盖章）：</w:t>
      </w:r>
    </w:p>
    <w:p w:rsidR="009D0B97" w:rsidRPr="00967E19" w:rsidRDefault="009D0B97" w:rsidP="009D0B97">
      <w:pPr>
        <w:spacing w:line="360" w:lineRule="auto"/>
        <w:ind w:right="840"/>
        <w:jc w:val="right"/>
        <w:rPr>
          <w:rFonts w:ascii="仿宋_GB2312" w:eastAsia="仿宋_GB2312"/>
          <w:bCs/>
          <w:sz w:val="24"/>
        </w:rPr>
      </w:pPr>
      <w:r w:rsidRPr="00967E19">
        <w:rPr>
          <w:rFonts w:ascii="仿宋_GB2312" w:eastAsia="仿宋_GB2312" w:hAnsi="宋体" w:hint="eastAsia"/>
          <w:bCs/>
          <w:sz w:val="24"/>
        </w:rPr>
        <w:t>年  月  日</w:t>
      </w:r>
    </w:p>
    <w:p w:rsidR="00110D2A" w:rsidRPr="009D0B97" w:rsidRDefault="00110D2A"/>
    <w:sectPr w:rsidR="00110D2A" w:rsidRPr="009D0B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709" w:rsidRDefault="00CC2709" w:rsidP="009D0B97">
      <w:r>
        <w:separator/>
      </w:r>
    </w:p>
  </w:endnote>
  <w:endnote w:type="continuationSeparator" w:id="0">
    <w:p w:rsidR="00CC2709" w:rsidRDefault="00CC2709" w:rsidP="009D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709" w:rsidRDefault="00CC2709" w:rsidP="009D0B97">
      <w:r>
        <w:separator/>
      </w:r>
    </w:p>
  </w:footnote>
  <w:footnote w:type="continuationSeparator" w:id="0">
    <w:p w:rsidR="00CC2709" w:rsidRDefault="00CC2709" w:rsidP="009D0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0B97"/>
    <w:rsid w:val="00110D2A"/>
    <w:rsid w:val="002617FD"/>
    <w:rsid w:val="009D0B97"/>
    <w:rsid w:val="00CC2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63E1"/>
  <w15:docId w15:val="{0BF66F49-A5C5-4E4B-A54D-476C78E3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B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B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D0B97"/>
    <w:rPr>
      <w:sz w:val="18"/>
      <w:szCs w:val="18"/>
    </w:rPr>
  </w:style>
  <w:style w:type="paragraph" w:styleId="a5">
    <w:name w:val="footer"/>
    <w:basedOn w:val="a"/>
    <w:link w:val="a6"/>
    <w:uiPriority w:val="99"/>
    <w:unhideWhenUsed/>
    <w:rsid w:val="009D0B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D0B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cp:revision>
  <dcterms:created xsi:type="dcterms:W3CDTF">2016-11-10T06:46:00Z</dcterms:created>
  <dcterms:modified xsi:type="dcterms:W3CDTF">2017-10-25T01:12:00Z</dcterms:modified>
</cp:coreProperties>
</file>